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69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69"/>
                <w:sz w:val="76"/>
                <w:szCs w:val="76"/>
              </w:rPr>
              <w:t>中共华北水利水电大学委员会学工部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color w:val="FF0000"/>
                <w:spacing w:val="64"/>
                <w:w w:val="75"/>
                <w:sz w:val="66"/>
                <w:szCs w:val="6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64"/>
                <w:w w:val="75"/>
                <w:sz w:val="76"/>
                <w:szCs w:val="66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64"/>
                <w:w w:val="75"/>
                <w:sz w:val="66"/>
                <w:szCs w:val="6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86"/>
              </w:rPr>
              <w:t>共青团华北水利水电大学委员会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</w:tr>
    </w:tbl>
    <w:p/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华水团联[201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/>
          <w:sz w:val="30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spacing w:line="4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color w:val="FF0000"/>
          <w:kern w:val="2"/>
          <w:sz w:val="100"/>
          <w:szCs w:val="100"/>
          <w:lang w:val="en-US" w:eastAsia="zh-CN" w:bidi="ar-SA"/>
        </w:rPr>
        <w:pict>
          <v:shape id="椭圆 1025" o:spid="_x0000_s1027" type="#_x0000_t3" style="position:absolute;left:0;margin-left:215.25pt;margin-top:6.95pt;height:28.2pt;width:27pt;rotation:0f;z-index:251659264;" o:ole="f" fillcolor="#FF0000" filled="f" o:preferrelative="t" stroked="t" coordorigin="0,0" coordsize="21600,21600">
            <v:fill on="f" color2="#FFFFFF" focus="0%"/>
            <v:stroke weight="1.5pt" color="#FF0000" color2="#FFFFFF" miterlimit="2"/>
            <v:imagedata gain="64424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华文中宋" w:hAnsi="华文中宋" w:eastAsia="华文中宋" w:cs="Times New Roman"/>
          <w:b/>
          <w:color w:val="FF0000"/>
          <w:kern w:val="2"/>
          <w:sz w:val="100"/>
          <w:szCs w:val="100"/>
          <w:lang w:val="en-US" w:eastAsia="zh-CN" w:bidi="ar-SA"/>
        </w:rPr>
        <w:pict>
          <v:group id="Group 3" o:spid="_x0000_s1028" style="position:absolute;left:0;margin-left:-18.9pt;margin-top:9.25pt;height:23.4pt;width:491.4pt;rotation:0f;z-index:251658240;" coordorigin="0,0" coordsize="9828,468">
            <o:lock v:ext="edit" position="f" selection="f" grouping="f" rotation="f" cropping="f" text="f" aspectratio="f"/>
            <v:line id="直线 1027" o:spid="_x0000_s1029" style="position:absolute;left:0;top:258;height:0;width:4536;rotation:0f;" o:ole="f" fillcolor="#FFFFFF" filled="f" o:preferrelative="t" stroked="t" coordsize="21600,21600">
              <v:fill on="f" color2="#FFFFFF" focus="0%"/>
              <v:stroke weight="3pt" color="#FF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线 1028" o:spid="_x0000_s1030" style="position:absolute;left:5400;top:258;height:0;width:4428;rotation:0f;" o:ole="f" fillcolor="#FFFFFF" filled="f" o:preferrelative="t" stroked="t" coordsize="21600,21600">
              <v:fill on="f" color2="#FFFFFF" focus="0%"/>
              <v:stroke weight="3pt" color="#FF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五角星 1029" o:spid="_x0000_s1031" type="#_x0000_t12" style="position:absolute;left:4716;top:0;height:468;width:468;rotation:0f;" o:ole="f" fillcolor="#FF0000" filled="t" o:preferrelative="t" stroked="t" coordorigin="0,0" coordsize="21600,21600">
              <v:stroke color="#FF0000" color2="#FFFFFF" miterlimit="2"/>
              <v:imagedata gain="64424f" blacklevel="0f" gamma="0"/>
              <o:lock v:ext="edit" position="f" selection="f" grouping="f" rotation="f" cropping="f" text="f" aspectratio="f"/>
            </v:shape>
          </v:group>
        </w:pict>
      </w:r>
    </w:p>
    <w:p>
      <w:pPr>
        <w:widowControl/>
        <w:wordWrap/>
        <w:adjustRightInd/>
        <w:snapToGrid/>
        <w:spacing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Arial"/>
          <w:b w:val="0"/>
          <w:bCs w:val="0"/>
          <w:color w:val="333333"/>
          <w:kern w:val="0"/>
          <w:sz w:val="40"/>
          <w:szCs w:val="44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333333"/>
          <w:kern w:val="0"/>
          <w:sz w:val="40"/>
          <w:szCs w:val="44"/>
          <w:lang w:val="en-US" w:eastAsia="zh-CN"/>
        </w:rPr>
        <w:t xml:space="preserve"> </w:t>
      </w:r>
    </w:p>
    <w:p>
      <w:pPr>
        <w:widowControl/>
        <w:spacing w:line="432" w:lineRule="atLeast"/>
        <w:jc w:val="center"/>
        <w:rPr>
          <w:rFonts w:hint="eastAsia" w:ascii="方正小标宋简体" w:hAnsi="宋体" w:eastAsia="方正小标宋简体" w:cs="仿宋_GB2312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b w:val="0"/>
          <w:bCs w:val="0"/>
          <w:kern w:val="0"/>
          <w:sz w:val="44"/>
          <w:szCs w:val="44"/>
        </w:rPr>
        <w:t>关于设立宿舍心理联络员的通知</w:t>
      </w:r>
      <w:bookmarkEnd w:id="0"/>
    </w:p>
    <w:p>
      <w:pPr>
        <w:autoSpaceDN w:val="0"/>
        <w:adjustRightInd/>
        <w:snapToGrid/>
        <w:spacing w:line="500" w:lineRule="exact"/>
        <w:ind w:left="0" w:leftChars="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各学院团委：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为及时发现和有效预防大学生中存在的心理问题，逐步建立并完善大学生心理危机干预体制，培养学生的健全人格，提升学生的心理健康水平，我校决定建立宿舍心理联络员网络，将心理健康教育工作辐射到每个学生宿舍。现将有关事项通知如下：</w:t>
      </w:r>
    </w:p>
    <w:p>
      <w:pPr>
        <w:autoSpaceDN w:val="0"/>
        <w:adjustRightInd/>
        <w:snapToGrid/>
        <w:spacing w:line="500" w:lineRule="exact"/>
        <w:ind w:left="0" w:leftChars="0" w:firstLine="31680" w:firstLineChars="196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一、基本条件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具有良好的思想政治素质和心理素质；热爱心理健康工作，有强烈的责任心和奉献精神；为人乐观、开朗、善解人意，乐于助人；具有良好的语言表达能力，善于与人沟通。</w:t>
      </w:r>
    </w:p>
    <w:p>
      <w:pPr>
        <w:autoSpaceDN w:val="0"/>
        <w:adjustRightInd/>
        <w:snapToGrid/>
        <w:spacing w:line="500" w:lineRule="exact"/>
        <w:ind w:left="0" w:leftChars="0" w:firstLine="31680" w:firstLineChars="196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二、工作职责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1.</w:t>
      </w:r>
      <w:r>
        <w:rPr>
          <w:rFonts w:hint="eastAsia" w:ascii="仿宋_GB2312" w:hAnsi="宋体"/>
          <w:color w:val="000000"/>
          <w:sz w:val="28"/>
          <w:szCs w:val="28"/>
        </w:rPr>
        <w:t>随时观察了解同学们的心理动态，发现需要心理援助的学生及时上报给班级心理委员、辅导员或学院心理辅导站；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2.</w:t>
      </w:r>
      <w:r>
        <w:rPr>
          <w:rFonts w:hint="eastAsia" w:ascii="仿宋_GB2312" w:hAnsi="宋体"/>
          <w:color w:val="000000"/>
          <w:sz w:val="28"/>
          <w:szCs w:val="28"/>
        </w:rPr>
        <w:t>协助班级心理委员组织开展心理健康教育活动，宣传普及心理健康知识，增强学生的心理健康意识和心理自助能力，营造和谐融洽的宿舍心理氛围和良好的人际关系；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3.</w:t>
      </w:r>
      <w:r>
        <w:rPr>
          <w:rFonts w:hint="eastAsia" w:ascii="仿宋_GB2312" w:hAnsi="宋体"/>
          <w:color w:val="000000"/>
          <w:sz w:val="28"/>
          <w:szCs w:val="28"/>
        </w:rPr>
        <w:t>在宿舍范围内开展朋辈心理辅导，主动帮助同学解决日常学习和生活中出现的心理困扰，遇到解决不了的问题及时转介给班级心理委员或学院心理辅导站；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4.</w:t>
      </w:r>
      <w:r>
        <w:rPr>
          <w:rFonts w:hint="eastAsia" w:ascii="仿宋_GB2312" w:hAnsi="宋体"/>
          <w:color w:val="000000"/>
          <w:sz w:val="28"/>
          <w:szCs w:val="28"/>
        </w:rPr>
        <w:t>积极参加学校及学院组织的业务培训和工作交流研讨活动，不断提高自己的心理知识水平和助人技巧，促进自我成长；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5.</w:t>
      </w:r>
      <w:r>
        <w:rPr>
          <w:rFonts w:hint="eastAsia" w:ascii="仿宋_GB2312" w:hAnsi="宋体"/>
          <w:color w:val="000000"/>
          <w:sz w:val="28"/>
          <w:szCs w:val="28"/>
        </w:rPr>
        <w:t>在开展心理健康教育工作中严格遵守保密原则，自觉保护同学的隐私，切实维护同学的人格尊严和合法权益。</w:t>
      </w:r>
    </w:p>
    <w:p>
      <w:pPr>
        <w:autoSpaceDN w:val="0"/>
        <w:adjustRightInd/>
        <w:snapToGrid/>
        <w:spacing w:line="500" w:lineRule="exact"/>
        <w:ind w:left="0" w:leftChars="0" w:firstLine="31680" w:firstLineChars="196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三、选拔办法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每个宿舍设</w:t>
      </w:r>
      <w:r>
        <w:rPr>
          <w:rFonts w:ascii="仿宋_GB2312" w:hAnsi="宋体"/>
          <w:color w:val="000000"/>
          <w:sz w:val="28"/>
          <w:szCs w:val="28"/>
        </w:rPr>
        <w:t>1</w:t>
      </w:r>
      <w:r>
        <w:rPr>
          <w:rFonts w:hint="eastAsia" w:ascii="仿宋_GB2312" w:hAnsi="宋体"/>
          <w:color w:val="000000"/>
          <w:sz w:val="28"/>
          <w:szCs w:val="28"/>
        </w:rPr>
        <w:t>名心理联络员。根据“个人自愿、宿舍推荐、学院确定”的原则产生，具体步骤包括：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1</w:t>
      </w:r>
      <w:r>
        <w:rPr>
          <w:rFonts w:hint="eastAsia" w:ascii="仿宋_GB2312" w:hAnsi="宋体"/>
          <w:color w:val="000000"/>
          <w:sz w:val="28"/>
          <w:szCs w:val="28"/>
        </w:rPr>
        <w:t>．通过自愿报名的方式申报宿舍心理联络员候选人。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2</w:t>
      </w:r>
      <w:r>
        <w:rPr>
          <w:rFonts w:hint="eastAsia" w:ascii="仿宋_GB2312" w:hAnsi="宋体"/>
          <w:color w:val="000000"/>
          <w:sz w:val="28"/>
          <w:szCs w:val="28"/>
        </w:rPr>
        <w:t>．候选人需接受宿舍同学民主选举并获得多数同学支持，也可由班级心理委员向辅导员和二级心理辅导站站长推荐。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3</w:t>
      </w:r>
      <w:r>
        <w:rPr>
          <w:rFonts w:hint="eastAsia" w:ascii="仿宋_GB2312" w:hAnsi="宋体"/>
          <w:color w:val="000000"/>
          <w:sz w:val="28"/>
          <w:szCs w:val="28"/>
        </w:rPr>
        <w:t>．各学院辅导员和二级心理辅导站站长对各宿舍推荐的心理</w:t>
      </w:r>
      <w:r>
        <w:rPr>
          <w:rFonts w:hint="eastAsia" w:ascii="仿宋_GB2312" w:hAnsi="宋体"/>
          <w:color w:val="000000"/>
          <w:sz w:val="28"/>
          <w:szCs w:val="28"/>
          <w:lang w:eastAsia="zh-CN"/>
        </w:rPr>
        <w:t>联络员</w:t>
      </w:r>
      <w:r>
        <w:rPr>
          <w:rFonts w:hint="eastAsia" w:ascii="仿宋_GB2312" w:hAnsi="宋体"/>
          <w:color w:val="000000"/>
          <w:sz w:val="28"/>
          <w:szCs w:val="28"/>
        </w:rPr>
        <w:t>候选人从学业成绩、人际关系、服务能力等方面进行考察，考察合格后初步确定为宿舍心理联络员，并将名单提交到校团委心理健康教育中心。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一般情况下，宿舍心理联络员不做经常性调整，特殊情况由辅导员和二级心理辅导站站长考察后调整。</w:t>
      </w:r>
    </w:p>
    <w:p>
      <w:pPr>
        <w:autoSpaceDN w:val="0"/>
        <w:adjustRightInd/>
        <w:snapToGrid/>
        <w:spacing w:line="500" w:lineRule="exact"/>
        <w:ind w:left="0" w:leftChars="0" w:firstLine="31680" w:firstLineChars="196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四、培训事宜</w:t>
      </w:r>
    </w:p>
    <w:p>
      <w:pPr>
        <w:autoSpaceDN w:val="0"/>
        <w:adjustRightInd/>
        <w:snapToGrid/>
        <w:spacing w:line="500" w:lineRule="exact"/>
        <w:ind w:left="0" w:leftChars="0" w:firstLine="31680" w:firstLineChars="196"/>
        <w:jc w:val="left"/>
        <w:textAlignment w:val="auto"/>
        <w:outlineLvl w:val="9"/>
        <w:rPr>
          <w:rFonts w:ascii="仿宋_GB2312" w:hAnsi="宋体"/>
          <w:b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宿舍心理联络员的培训主要由各学院二级心理辅导站负责。各学院要充分认识宿舍心理联络员培训的重要性和必要性，负责组织宿舍心理联络员参加培训和学习，督促他们完成培训的相关任务。学校将根据工作需要和心理</w:t>
      </w:r>
      <w:r>
        <w:rPr>
          <w:rFonts w:hint="eastAsia" w:ascii="仿宋_GB2312" w:hAnsi="宋体"/>
          <w:color w:val="000000"/>
          <w:sz w:val="28"/>
          <w:szCs w:val="28"/>
          <w:lang w:eastAsia="zh-CN"/>
        </w:rPr>
        <w:t>联络员</w:t>
      </w:r>
      <w:r>
        <w:rPr>
          <w:rFonts w:hint="eastAsia" w:ascii="仿宋_GB2312" w:hAnsi="宋体"/>
          <w:color w:val="000000"/>
          <w:sz w:val="28"/>
          <w:szCs w:val="28"/>
        </w:rPr>
        <w:t>的业务需求，对宿舍心理联络员组织不定期的业务培训。</w:t>
      </w:r>
    </w:p>
    <w:p>
      <w:pPr>
        <w:autoSpaceDN w:val="0"/>
        <w:adjustRightInd/>
        <w:snapToGrid/>
        <w:spacing w:line="500" w:lineRule="exact"/>
        <w:ind w:left="0" w:leftChars="0" w:firstLine="31680" w:firstLineChars="196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五、相关要求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各学院认真填写《宿舍心理联络员统计表》，于</w:t>
      </w:r>
      <w:r>
        <w:rPr>
          <w:rFonts w:ascii="仿宋_GB2312" w:hAnsi="宋体"/>
          <w:color w:val="000000"/>
          <w:sz w:val="28"/>
          <w:szCs w:val="28"/>
        </w:rPr>
        <w:t>4</w:t>
      </w:r>
      <w:r>
        <w:rPr>
          <w:rFonts w:hint="eastAsia" w:ascii="仿宋_GB2312" w:hAnsi="宋体"/>
          <w:color w:val="000000"/>
          <w:sz w:val="28"/>
          <w:szCs w:val="28"/>
        </w:rPr>
        <w:t>月</w:t>
      </w:r>
      <w:r>
        <w:rPr>
          <w:rFonts w:ascii="仿宋_GB2312" w:hAnsi="宋体"/>
          <w:color w:val="000000"/>
          <w:sz w:val="28"/>
          <w:szCs w:val="28"/>
        </w:rPr>
        <w:t>10</w:t>
      </w:r>
      <w:r>
        <w:rPr>
          <w:rFonts w:hint="eastAsia" w:ascii="仿宋_GB2312" w:hAnsi="宋体"/>
          <w:color w:val="000000"/>
          <w:sz w:val="28"/>
          <w:szCs w:val="28"/>
        </w:rPr>
        <w:t>日前报心理健康教育中心，同时将电子版发到邮箱：</w:t>
      </w:r>
      <w:r>
        <w:rPr>
          <w:rFonts w:ascii="仿宋_GB2312" w:hAnsi="宋体"/>
          <w:color w:val="auto"/>
          <w:sz w:val="28"/>
          <w:szCs w:val="28"/>
        </w:rPr>
        <w:t>zhixiaren@ncwu.edu.cn</w:t>
      </w:r>
      <w:r>
        <w:rPr>
          <w:rFonts w:hint="eastAsia" w:ascii="仿宋_GB2312"/>
          <w:sz w:val="28"/>
          <w:szCs w:val="28"/>
        </w:rPr>
        <w:t>。</w:t>
      </w:r>
      <w:r>
        <w:rPr>
          <w:rFonts w:hint="eastAsia" w:ascii="仿宋_GB2312" w:hAnsi="宋体"/>
          <w:color w:val="000000"/>
          <w:sz w:val="28"/>
          <w:szCs w:val="28"/>
        </w:rPr>
        <w:t>各宿舍心理联络员如有变动，经学院批准后，及时报心理健康教育中心更改相关信息。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hint="eastAsia" w:ascii="仿宋_GB2312" w:hAnsi="宋体"/>
          <w:color w:val="000000"/>
          <w:sz w:val="28"/>
          <w:szCs w:val="28"/>
        </w:rPr>
      </w:pPr>
    </w:p>
    <w:p>
      <w:pPr>
        <w:autoSpaceDN w:val="0"/>
        <w:adjustRightInd/>
        <w:snapToGrid/>
        <w:spacing w:line="500" w:lineRule="exact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附件：宿舍心理联络员统计表</w:t>
      </w: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</w:p>
    <w:p>
      <w:pPr>
        <w:autoSpaceDN w:val="0"/>
        <w:adjustRightInd/>
        <w:snapToGrid/>
        <w:spacing w:line="500" w:lineRule="exact"/>
        <w:ind w:left="0" w:leftChars="0" w:firstLine="31680" w:firstLineChars="20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</w:p>
    <w:p>
      <w:pPr>
        <w:autoSpaceDN w:val="0"/>
        <w:adjustRightInd/>
        <w:snapToGrid/>
        <w:spacing w:line="500" w:lineRule="exact"/>
        <w:ind w:left="0" w:leftChars="0"/>
        <w:jc w:val="lef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</w:p>
    <w:p>
      <w:pPr>
        <w:wordWrap w:val="0"/>
        <w:autoSpaceDN w:val="0"/>
        <w:adjustRightInd/>
        <w:snapToGrid/>
        <w:spacing w:line="500" w:lineRule="exact"/>
        <w:ind w:left="0" w:leftChars="0" w:right="160"/>
        <w:jc w:val="right"/>
        <w:textAlignment w:val="auto"/>
        <w:outlineLvl w:val="9"/>
        <w:rPr>
          <w:rFonts w:hint="eastAsia" w:ascii="仿宋_GB2312" w:hAnsi="宋体"/>
          <w:color w:val="000000"/>
          <w:sz w:val="28"/>
          <w:szCs w:val="28"/>
        </w:rPr>
      </w:pPr>
    </w:p>
    <w:p>
      <w:pPr>
        <w:wordWrap w:val="0"/>
        <w:autoSpaceDN w:val="0"/>
        <w:adjustRightInd/>
        <w:snapToGrid/>
        <w:spacing w:line="500" w:lineRule="exact"/>
        <w:ind w:left="0" w:leftChars="0" w:right="160"/>
        <w:jc w:val="right"/>
        <w:textAlignment w:val="auto"/>
        <w:outlineLvl w:val="9"/>
        <w:rPr>
          <w:rFonts w:hint="eastAsia" w:ascii="仿宋_GB2312" w:hAnsi="宋体"/>
          <w:color w:val="000000"/>
          <w:sz w:val="28"/>
          <w:szCs w:val="28"/>
        </w:rPr>
      </w:pPr>
    </w:p>
    <w:p>
      <w:pPr>
        <w:wordWrap w:val="0"/>
        <w:autoSpaceDN w:val="0"/>
        <w:adjustRightInd/>
        <w:snapToGrid/>
        <w:spacing w:line="500" w:lineRule="exact"/>
        <w:ind w:left="0" w:leftChars="0" w:right="160"/>
        <w:jc w:val="right"/>
        <w:textAlignment w:val="auto"/>
        <w:outlineLvl w:val="9"/>
        <w:rPr>
          <w:rFonts w:hint="eastAsia" w:ascii="仿宋_GB2312" w:hAnsi="宋体"/>
          <w:color w:val="000000"/>
          <w:sz w:val="28"/>
          <w:szCs w:val="28"/>
        </w:rPr>
      </w:pPr>
    </w:p>
    <w:p>
      <w:pPr>
        <w:wordWrap w:val="0"/>
        <w:autoSpaceDN w:val="0"/>
        <w:adjustRightInd/>
        <w:snapToGrid/>
        <w:spacing w:line="500" w:lineRule="exact"/>
        <w:ind w:left="0" w:leftChars="0" w:right="160"/>
        <w:jc w:val="right"/>
        <w:textAlignment w:val="auto"/>
        <w:outlineLvl w:val="9"/>
        <w:rPr>
          <w:rFonts w:hint="eastAsia" w:ascii="仿宋_GB2312" w:hAnsi="宋体"/>
          <w:color w:val="000000"/>
          <w:sz w:val="28"/>
          <w:szCs w:val="28"/>
        </w:rPr>
      </w:pPr>
    </w:p>
    <w:p>
      <w:pPr>
        <w:wordWrap w:val="0"/>
        <w:autoSpaceDN w:val="0"/>
        <w:adjustRightInd/>
        <w:snapToGrid/>
        <w:spacing w:line="500" w:lineRule="exact"/>
        <w:ind w:left="0" w:leftChars="0" w:right="160"/>
        <w:jc w:val="right"/>
        <w:textAlignment w:val="auto"/>
        <w:outlineLvl w:val="9"/>
        <w:rPr>
          <w:rFonts w:hint="eastAsia" w:ascii="仿宋_GB2312" w:hAnsi="宋体"/>
          <w:color w:val="000000"/>
          <w:sz w:val="28"/>
          <w:szCs w:val="28"/>
        </w:rPr>
      </w:pPr>
    </w:p>
    <w:p>
      <w:pPr>
        <w:wordWrap w:val="0"/>
        <w:autoSpaceDN w:val="0"/>
        <w:adjustRightInd/>
        <w:snapToGrid/>
        <w:spacing w:line="500" w:lineRule="exact"/>
        <w:ind w:left="0" w:leftChars="0" w:right="160"/>
        <w:jc w:val="righ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党委学工部</w:t>
      </w:r>
      <w:r>
        <w:rPr>
          <w:rFonts w:ascii="仿宋_GB2312" w:hAnsi="宋体"/>
          <w:color w:val="000000"/>
          <w:sz w:val="28"/>
          <w:szCs w:val="28"/>
        </w:rPr>
        <w:t xml:space="preserve">     </w:t>
      </w:r>
      <w:r>
        <w:rPr>
          <w:rFonts w:hint="eastAsia" w:ascii="仿宋_GB2312" w:hAnsi="宋体"/>
          <w:color w:val="000000"/>
          <w:sz w:val="28"/>
          <w:szCs w:val="28"/>
        </w:rPr>
        <w:t>校团委</w:t>
      </w:r>
    </w:p>
    <w:p>
      <w:pPr>
        <w:adjustRightInd/>
        <w:snapToGrid/>
        <w:spacing w:line="500" w:lineRule="exact"/>
        <w:ind w:left="0" w:leftChars="0" w:right="640" w:firstLine="31680" w:firstLineChars="150"/>
        <w:jc w:val="righ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</w:p>
    <w:p>
      <w:pPr>
        <w:adjustRightInd/>
        <w:snapToGrid/>
        <w:spacing w:line="500" w:lineRule="exact"/>
        <w:ind w:left="0" w:leftChars="0" w:right="640" w:firstLine="31680" w:firstLineChars="150"/>
        <w:jc w:val="right"/>
        <w:textAlignment w:val="auto"/>
        <w:outlineLvl w:val="9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2015</w:t>
      </w:r>
      <w:r>
        <w:rPr>
          <w:rFonts w:hint="eastAsia" w:ascii="仿宋_GB2312" w:hAnsi="宋体"/>
          <w:color w:val="000000"/>
          <w:sz w:val="28"/>
          <w:szCs w:val="28"/>
        </w:rPr>
        <w:t>年</w:t>
      </w:r>
      <w:r>
        <w:rPr>
          <w:rFonts w:ascii="仿宋_GB2312" w:hAnsi="宋体"/>
          <w:color w:val="000000"/>
          <w:sz w:val="28"/>
          <w:szCs w:val="28"/>
        </w:rPr>
        <w:t>4</w:t>
      </w:r>
      <w:r>
        <w:rPr>
          <w:rFonts w:hint="eastAsia" w:ascii="仿宋_GB2312" w:hAnsi="宋体"/>
          <w:color w:val="000000"/>
          <w:sz w:val="28"/>
          <w:szCs w:val="28"/>
        </w:rPr>
        <w:t>月</w:t>
      </w:r>
      <w:r>
        <w:rPr>
          <w:rFonts w:ascii="仿宋_GB2312" w:hAnsi="宋体"/>
          <w:color w:val="000000"/>
          <w:sz w:val="28"/>
          <w:szCs w:val="28"/>
        </w:rPr>
        <w:t>7</w:t>
      </w:r>
      <w:r>
        <w:rPr>
          <w:rFonts w:hint="eastAsia" w:ascii="仿宋_GB2312" w:hAnsi="宋体"/>
          <w:color w:val="000000"/>
          <w:sz w:val="28"/>
          <w:szCs w:val="28"/>
        </w:rPr>
        <w:t>日</w:t>
      </w:r>
    </w:p>
    <w:p>
      <w:pPr>
        <w:autoSpaceDN w:val="0"/>
        <w:adjustRightInd/>
        <w:snapToGrid/>
        <w:spacing w:line="500" w:lineRule="exact"/>
        <w:ind w:left="0" w:leftChars="0"/>
        <w:jc w:val="left"/>
        <w:textAlignment w:val="auto"/>
        <w:outlineLvl w:val="9"/>
        <w:rPr>
          <w:rFonts w:ascii="宋体" w:hAnsi="宋体" w:eastAsia="宋体"/>
          <w:color w:val="000000"/>
          <w:sz w:val="24"/>
        </w:rPr>
      </w:pPr>
    </w:p>
    <w:p>
      <w:pPr>
        <w:widowControl/>
        <w:shd w:val="clear" w:color="auto" w:fill="FFFFFF"/>
        <w:adjustRightInd/>
        <w:snapToGrid/>
        <w:spacing w:line="500" w:lineRule="exact"/>
        <w:ind w:left="0" w:leftChars="0" w:firstLine="560"/>
        <w:jc w:val="left"/>
        <w:textAlignment w:val="auto"/>
        <w:outlineLvl w:val="9"/>
        <w:rPr>
          <w:rFonts w:ascii="Verdana" w:hAnsi="Verdana" w:eastAsia="宋体" w:cs="宋体"/>
          <w:color w:val="333333"/>
          <w:kern w:val="0"/>
          <w:sz w:val="21"/>
          <w:szCs w:val="21"/>
        </w:rPr>
      </w:pPr>
    </w:p>
    <w:p/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line="500" w:lineRule="exact"/>
        <w:ind w:right="210" w:right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pict>
          <v:line id="Line 7" o:spid="_x0000_s1032" style="position:absolute;left:0;margin-left:-7.2pt;margin-top:56.75pt;height:0.05pt;width:468pt;rotation:0f;z-index:251661312;" o:ole="f" fillcolor="#FFFFFF" filled="f" o:preferrelative="t" stroked="t" coordsize="21600,21600">
            <v:fill on="f" color2="#FFFFFF" focus="0%"/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  <w10:anchorlock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发送：各学院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、各班级</w:t>
      </w:r>
    </w:p>
    <w:p>
      <w:pPr>
        <w:wordWrap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pict>
          <v:line id="Line 8" o:spid="_x0000_s1033" style="position:absolute;left:0;flip:y;margin-left:-6.75pt;margin-top:0.65pt;height:0.05pt;width:468pt;rotation:0f;z-index:251660288;" o:ole="f" fillcolor="#FFFFFF" filled="f" o:preferrelative="t" stroked="t" coordsize="21600,21600">
            <v:fill on="f" color2="#FFFFFF" focus="0%"/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共青团华北水利水电大学委员会办公室         2015年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  　印发</w:t>
      </w:r>
    </w:p>
    <w:p>
      <w:pPr>
        <w:rPr>
          <w:rFonts w:ascii="黑体" w:eastAsia="黑体"/>
          <w:sz w:val="32"/>
          <w:szCs w:val="32"/>
        </w:rPr>
      </w:pPr>
      <w: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宿舍心理联络员统计表</w:t>
      </w:r>
    </w:p>
    <w:p>
      <w:pPr>
        <w:jc w:val="center"/>
        <w:rPr>
          <w:b/>
          <w:sz w:val="24"/>
        </w:rPr>
      </w:pPr>
    </w:p>
    <w:tbl>
      <w:tblPr>
        <w:tblStyle w:val="9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1228"/>
        <w:gridCol w:w="1440"/>
        <w:gridCol w:w="216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学</w:t>
            </w:r>
            <w:r>
              <w:rPr>
                <w:rFonts w:ascii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/>
                <w:b/>
                <w:sz w:val="32"/>
                <w:szCs w:val="32"/>
              </w:rPr>
              <w:t>院</w:t>
            </w: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班</w:t>
            </w:r>
            <w:r>
              <w:rPr>
                <w:rFonts w:ascii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/>
                <w:b/>
                <w:sz w:val="32"/>
                <w:szCs w:val="32"/>
              </w:rPr>
              <w:t>级</w:t>
            </w:r>
          </w:p>
        </w:tc>
        <w:tc>
          <w:tcPr>
            <w:tcW w:w="1228" w:type="dxa"/>
            <w:vAlign w:val="top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宿</w:t>
            </w:r>
            <w:r>
              <w:rPr>
                <w:rFonts w:ascii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/>
                <w:b/>
                <w:sz w:val="32"/>
                <w:szCs w:val="32"/>
              </w:rPr>
              <w:t>舍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姓</w:t>
            </w:r>
            <w:r>
              <w:rPr>
                <w:rFonts w:ascii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/>
                <w:b/>
                <w:sz w:val="32"/>
                <w:szCs w:val="32"/>
              </w:rPr>
              <w:t>名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</w:tbl>
    <w:p/>
    <w:p/>
    <w:sectPr>
      <w:headerReference r:id="rId4" w:type="default"/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文本框 2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9264D"/>
    <w:rsid w:val="000F28AF"/>
    <w:rsid w:val="001443C6"/>
    <w:rsid w:val="001D420C"/>
    <w:rsid w:val="00225528"/>
    <w:rsid w:val="0029264D"/>
    <w:rsid w:val="002A13C7"/>
    <w:rsid w:val="002C6E73"/>
    <w:rsid w:val="00326351"/>
    <w:rsid w:val="00381E9F"/>
    <w:rsid w:val="003B7B0B"/>
    <w:rsid w:val="003E3CDB"/>
    <w:rsid w:val="00590BBA"/>
    <w:rsid w:val="0059405B"/>
    <w:rsid w:val="005A46FE"/>
    <w:rsid w:val="0065376D"/>
    <w:rsid w:val="0066593F"/>
    <w:rsid w:val="006A23F1"/>
    <w:rsid w:val="0070221C"/>
    <w:rsid w:val="0074712B"/>
    <w:rsid w:val="00773FF6"/>
    <w:rsid w:val="007F68E9"/>
    <w:rsid w:val="00862127"/>
    <w:rsid w:val="008D65DA"/>
    <w:rsid w:val="008E286C"/>
    <w:rsid w:val="009043F6"/>
    <w:rsid w:val="00922761"/>
    <w:rsid w:val="009C4D63"/>
    <w:rsid w:val="00A2050F"/>
    <w:rsid w:val="00AA219B"/>
    <w:rsid w:val="00AD5492"/>
    <w:rsid w:val="00AF7243"/>
    <w:rsid w:val="00B0087B"/>
    <w:rsid w:val="00B136D4"/>
    <w:rsid w:val="00B35435"/>
    <w:rsid w:val="00C5478B"/>
    <w:rsid w:val="00D5169E"/>
    <w:rsid w:val="00E35EBB"/>
    <w:rsid w:val="00E7442C"/>
    <w:rsid w:val="00EC3093"/>
    <w:rsid w:val="00F638E4"/>
    <w:rsid w:val="00F83892"/>
    <w:rsid w:val="00FF5C40"/>
    <w:rsid w:val="1DED37C6"/>
    <w:rsid w:val="221965FB"/>
    <w:rsid w:val="263C20E9"/>
    <w:rsid w:val="2EA01253"/>
    <w:rsid w:val="5DEC231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99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 Char"/>
    <w:basedOn w:val="1"/>
    <w:link w:val="5"/>
    <w:uiPriority w:val="0"/>
  </w:style>
  <w:style w:type="character" w:styleId="7">
    <w:name w:val="page number"/>
    <w:basedOn w:val="5"/>
    <w:unhideWhenUsed/>
    <w:uiPriority w:val="0"/>
    <w:rPr/>
  </w:style>
  <w:style w:type="character" w:styleId="8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193</Words>
  <Characters>1101</Characters>
  <Lines>0</Lines>
  <Paragraphs>0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2015-04-07T01:12:00Z</dcterms:created>
  <dc:creator>HBSY</dc:creator>
  <cp:lastModifiedBy>学生</cp:lastModifiedBy>
  <dcterms:modified xsi:type="dcterms:W3CDTF">2015-04-13T08:50:27Z</dcterms:modified>
  <dc:title>共青团华北水利水电大学委员会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