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67" w:line="259" w:lineRule="auto"/>
        <w:ind w:left="10" w:hanging="10"/>
        <w:rPr>
          <w:rFonts w:ascii="黑体" w:hAnsi="黑体" w:eastAsia="黑体" w:cs="微软雅黑"/>
          <w:sz w:val="32"/>
          <w:szCs w:val="32"/>
        </w:rPr>
      </w:pPr>
      <w:r>
        <w:rPr>
          <w:rFonts w:ascii="黑体" w:hAnsi="黑体" w:eastAsia="黑体" w:cs="微软雅黑"/>
          <w:sz w:val="32"/>
          <w:szCs w:val="32"/>
        </w:rPr>
        <w:t xml:space="preserve">附  件 </w:t>
      </w:r>
    </w:p>
    <w:p>
      <w:pPr>
        <w:spacing w:after="267" w:line="259" w:lineRule="auto"/>
        <w:ind w:left="10" w:hanging="10"/>
        <w:jc w:val="right"/>
        <w:rPr>
          <w:rFonts w:ascii="黑体" w:hAnsi="黑体" w:eastAsia="黑体" w:cs="微软雅黑"/>
          <w:sz w:val="32"/>
          <w:szCs w:val="32"/>
        </w:rPr>
      </w:pPr>
      <w:bookmarkStart w:id="0" w:name="_GoBack"/>
      <w:r>
        <w:rPr>
          <w:rFonts w:hint="eastAsia" w:ascii="方正小标宋简体" w:hAnsi="宋体" w:eastAsia="方正小标宋简体"/>
          <w:b/>
          <w:bCs/>
          <w:sz w:val="36"/>
          <w:szCs w:val="36"/>
        </w:rPr>
        <w:t>违反中央八项规定精神问题检查、自查内容清单</w:t>
      </w:r>
      <w:bookmarkEnd w:id="0"/>
    </w:p>
    <w:tbl>
      <w:tblPr>
        <w:tblStyle w:val="4"/>
        <w:tblW w:w="8971" w:type="dxa"/>
        <w:tblInd w:w="-14" w:type="dxa"/>
        <w:tblLayout w:type="autofit"/>
        <w:tblCellMar>
          <w:top w:w="48" w:type="dxa"/>
          <w:left w:w="0" w:type="dxa"/>
          <w:bottom w:w="0" w:type="dxa"/>
          <w:right w:w="0" w:type="dxa"/>
        </w:tblCellMar>
      </w:tblPr>
      <w:tblGrid>
        <w:gridCol w:w="997"/>
        <w:gridCol w:w="851"/>
        <w:gridCol w:w="1822"/>
        <w:gridCol w:w="5301"/>
      </w:tblGrid>
      <w:tr>
        <w:tblPrEx>
          <w:tblCellMar>
            <w:top w:w="48" w:type="dxa"/>
            <w:left w:w="0" w:type="dxa"/>
            <w:bottom w:w="0" w:type="dxa"/>
            <w:right w:w="0" w:type="dxa"/>
          </w:tblCellMar>
        </w:tblPrEx>
        <w:trPr>
          <w:trHeight w:val="611" w:hRule="atLeast"/>
        </w:trPr>
        <w:tc>
          <w:tcPr>
            <w:tcW w:w="99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8"/>
              <w:jc w:val="center"/>
              <w:rPr>
                <w:rFonts w:ascii="宋体" w:hAnsi="宋体" w:eastAsia="宋体"/>
                <w:sz w:val="32"/>
                <w:szCs w:val="32"/>
              </w:rPr>
            </w:pPr>
            <w:r>
              <w:rPr>
                <w:rFonts w:ascii="宋体" w:hAnsi="宋体" w:eastAsia="宋体" w:cs="微软雅黑"/>
                <w:sz w:val="32"/>
                <w:szCs w:val="32"/>
              </w:rPr>
              <w:t xml:space="preserve"> </w:t>
            </w:r>
          </w:p>
        </w:tc>
        <w:tc>
          <w:tcPr>
            <w:tcW w:w="2673"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right="7"/>
              <w:jc w:val="center"/>
              <w:rPr>
                <w:rFonts w:ascii="宋体" w:hAnsi="宋体" w:eastAsia="宋体"/>
                <w:b/>
                <w:bCs/>
                <w:sz w:val="32"/>
                <w:szCs w:val="32"/>
              </w:rPr>
            </w:pPr>
            <w:r>
              <w:rPr>
                <w:rFonts w:ascii="宋体" w:hAnsi="宋体" w:eastAsia="宋体" w:cs="微软雅黑"/>
                <w:b/>
                <w:bCs/>
                <w:sz w:val="32"/>
                <w:szCs w:val="32"/>
              </w:rPr>
              <w:t xml:space="preserve">检查内容 </w:t>
            </w:r>
          </w:p>
        </w:tc>
        <w:tc>
          <w:tcPr>
            <w:tcW w:w="5301"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8"/>
              <w:jc w:val="center"/>
              <w:rPr>
                <w:rFonts w:ascii="宋体" w:hAnsi="宋体" w:eastAsia="宋体"/>
                <w:b/>
                <w:bCs/>
                <w:sz w:val="32"/>
                <w:szCs w:val="32"/>
              </w:rPr>
            </w:pPr>
            <w:r>
              <w:rPr>
                <w:rFonts w:ascii="宋体" w:hAnsi="宋体" w:eastAsia="宋体" w:cs="微软雅黑"/>
                <w:b/>
                <w:bCs/>
                <w:sz w:val="32"/>
                <w:szCs w:val="32"/>
              </w:rPr>
              <w:t xml:space="preserve">详细内容 </w:t>
            </w:r>
          </w:p>
        </w:tc>
      </w:tr>
      <w:tr>
        <w:tblPrEx>
          <w:tblCellMar>
            <w:top w:w="48" w:type="dxa"/>
            <w:left w:w="0" w:type="dxa"/>
            <w:bottom w:w="0" w:type="dxa"/>
            <w:right w:w="0" w:type="dxa"/>
          </w:tblCellMar>
        </w:tblPrEx>
        <w:trPr>
          <w:trHeight w:val="907" w:hRule="atLeast"/>
        </w:trPr>
        <w:tc>
          <w:tcPr>
            <w:tcW w:w="997"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9" w:firstLine="115"/>
              <w:jc w:val="center"/>
              <w:rPr>
                <w:rFonts w:ascii="仿宋_GB2312" w:hAnsi="宋体" w:eastAsia="仿宋_GB2312"/>
                <w:sz w:val="24"/>
                <w:szCs w:val="24"/>
              </w:rPr>
            </w:pPr>
            <w:r>
              <w:rPr>
                <w:rFonts w:hint="eastAsia" w:ascii="仿宋_GB2312" w:hAnsi="宋体" w:eastAsia="仿宋_GB2312"/>
                <w:sz w:val="24"/>
                <w:szCs w:val="24"/>
              </w:rPr>
              <w:t>形式主义、官僚主义问题</w:t>
            </w:r>
          </w:p>
        </w:tc>
        <w:tc>
          <w:tcPr>
            <w:tcW w:w="7974"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1.贯彻党中央重大决策部署有令不行、有禁不止，或者表态多调门高、行动少落实差，脱离实际、脱离群众，造成严重后果。 </w:t>
            </w:r>
          </w:p>
        </w:tc>
      </w:tr>
      <w:tr>
        <w:tblPrEx>
          <w:tblCellMar>
            <w:top w:w="48" w:type="dxa"/>
            <w:left w:w="0" w:type="dxa"/>
            <w:bottom w:w="0" w:type="dxa"/>
            <w:right w:w="0" w:type="dxa"/>
          </w:tblCellMar>
        </w:tblPrEx>
        <w:trPr>
          <w:trHeight w:val="758"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7974"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2.在履职尽责、服务经济社会发展和生态环境保护方面不担当、不作为、乱作为、假作为，严重影响高质量发展。</w:t>
            </w:r>
          </w:p>
        </w:tc>
      </w:tr>
      <w:tr>
        <w:tblPrEx>
          <w:tblCellMar>
            <w:top w:w="48" w:type="dxa"/>
            <w:left w:w="0" w:type="dxa"/>
            <w:bottom w:w="0" w:type="dxa"/>
            <w:right w:w="0" w:type="dxa"/>
          </w:tblCellMar>
        </w:tblPrEx>
        <w:trPr>
          <w:trHeight w:val="807"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7974"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ind w:left="17" w:hanging="46"/>
              <w:rPr>
                <w:rFonts w:ascii="仿宋_GB2312" w:hAnsi="宋体" w:eastAsia="仿宋_GB2312"/>
                <w:sz w:val="24"/>
                <w:szCs w:val="24"/>
              </w:rPr>
            </w:pPr>
            <w:r>
              <w:rPr>
                <w:rFonts w:hint="eastAsia" w:ascii="仿宋_GB2312" w:hAnsi="宋体" w:eastAsia="仿宋_GB2312"/>
                <w:sz w:val="24"/>
                <w:szCs w:val="24"/>
              </w:rPr>
              <w:t xml:space="preserve"> 3.在联系服务群众中消极应付、冷硬横推、效率低下，损害群众利益，群众反映强烈。</w:t>
            </w:r>
          </w:p>
        </w:tc>
      </w:tr>
      <w:tr>
        <w:tblPrEx>
          <w:tblCellMar>
            <w:top w:w="48" w:type="dxa"/>
            <w:left w:w="0" w:type="dxa"/>
            <w:bottom w:w="0" w:type="dxa"/>
            <w:right w:w="0" w:type="dxa"/>
          </w:tblCellMar>
        </w:tblPrEx>
        <w:trPr>
          <w:trHeight w:val="647"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7974" w:type="dxa"/>
            <w:gridSpan w:val="3"/>
            <w:tcBorders>
              <w:top w:val="single" w:color="000000" w:sz="4" w:space="0"/>
              <w:left w:val="single" w:color="000000" w:sz="4" w:space="0"/>
              <w:bottom w:val="single" w:color="000000" w:sz="4" w:space="0"/>
              <w:right w:val="single" w:color="000000" w:sz="4" w:space="0"/>
            </w:tcBorders>
          </w:tcPr>
          <w:p>
            <w:pPr>
              <w:spacing w:line="259" w:lineRule="auto"/>
              <w:ind w:left="17" w:right="-75"/>
              <w:rPr>
                <w:rFonts w:ascii="仿宋_GB2312" w:hAnsi="宋体" w:eastAsia="仿宋_GB2312"/>
                <w:sz w:val="24"/>
                <w:szCs w:val="24"/>
              </w:rPr>
            </w:pPr>
            <w:r>
              <w:rPr>
                <w:rFonts w:hint="eastAsia" w:ascii="仿宋_GB2312" w:hAnsi="宋体" w:eastAsia="仿宋_GB2312"/>
                <w:sz w:val="24"/>
                <w:szCs w:val="24"/>
              </w:rPr>
              <w:t>4.文山会海反弹回潮，文风会风不实不正，督查检查考核过多过频、过度留痕，给基层造成严重负担。</w:t>
            </w:r>
          </w:p>
        </w:tc>
      </w:tr>
      <w:tr>
        <w:tblPrEx>
          <w:tblCellMar>
            <w:top w:w="48" w:type="dxa"/>
            <w:left w:w="0" w:type="dxa"/>
            <w:bottom w:w="0" w:type="dxa"/>
            <w:right w:w="0" w:type="dxa"/>
          </w:tblCellMar>
        </w:tblPrEx>
        <w:trPr>
          <w:trHeight w:val="924" w:hRule="atLeast"/>
        </w:trPr>
        <w:tc>
          <w:tcPr>
            <w:tcW w:w="997"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9" w:firstLine="115"/>
              <w:rPr>
                <w:rFonts w:ascii="仿宋_GB2312" w:hAnsi="宋体" w:eastAsia="仿宋_GB2312"/>
                <w:sz w:val="24"/>
                <w:szCs w:val="24"/>
              </w:rPr>
            </w:pPr>
            <w:r>
              <w:rPr>
                <w:rFonts w:hint="eastAsia" w:ascii="仿宋_GB2312" w:hAnsi="宋体" w:eastAsia="仿宋_GB2312"/>
                <w:sz w:val="24"/>
                <w:szCs w:val="24"/>
              </w:rPr>
              <w:t>享乐主义、奢靡之风问题</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72"/>
              <w:rPr>
                <w:rFonts w:ascii="仿宋_GB2312" w:hAnsi="宋体" w:eastAsia="仿宋_GB2312"/>
                <w:sz w:val="24"/>
                <w:szCs w:val="24"/>
              </w:rPr>
            </w:pPr>
            <w:r>
              <w:rPr>
                <w:rFonts w:hint="eastAsia" w:ascii="仿宋_GB2312" w:hAnsi="宋体" w:eastAsia="仿宋_GB2312"/>
                <w:sz w:val="24"/>
                <w:szCs w:val="24"/>
              </w:rPr>
              <w:t xml:space="preserve">1.违规收送名贵特产和礼品礼金 </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434" w:hanging="348"/>
              <w:rPr>
                <w:rFonts w:ascii="仿宋_GB2312" w:hAnsi="宋体" w:eastAsia="仿宋_GB2312"/>
                <w:sz w:val="24"/>
                <w:szCs w:val="24"/>
              </w:rPr>
            </w:pPr>
            <w:r>
              <w:rPr>
                <w:rFonts w:hint="eastAsia" w:ascii="仿宋_GB2312" w:hAnsi="宋体" w:eastAsia="仿宋_GB2312"/>
                <w:sz w:val="24"/>
                <w:szCs w:val="24"/>
              </w:rPr>
              <w:t xml:space="preserve">违规收送名贵特产类礼品 </w:t>
            </w:r>
          </w:p>
        </w:tc>
        <w:tc>
          <w:tcPr>
            <w:tcW w:w="530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（1）节日期间或日常往来中违规收送礼品礼金、名贵特产资源。既包括公款购买的，也包括私款的。 </w:t>
            </w:r>
          </w:p>
        </w:tc>
      </w:tr>
      <w:tr>
        <w:tblPrEx>
          <w:tblCellMar>
            <w:top w:w="48" w:type="dxa"/>
            <w:left w:w="0" w:type="dxa"/>
            <w:bottom w:w="0" w:type="dxa"/>
            <w:right w:w="0" w:type="dxa"/>
          </w:tblCellMar>
        </w:tblPrEx>
        <w:trPr>
          <w:trHeight w:val="759"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182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434" w:hanging="348"/>
              <w:rPr>
                <w:rFonts w:ascii="仿宋_GB2312" w:hAnsi="宋体" w:eastAsia="仿宋_GB2312"/>
                <w:sz w:val="24"/>
                <w:szCs w:val="24"/>
              </w:rPr>
            </w:pPr>
            <w:r>
              <w:rPr>
                <w:rFonts w:hint="eastAsia" w:ascii="仿宋_GB2312" w:hAnsi="宋体" w:eastAsia="仿宋_GB2312"/>
                <w:sz w:val="24"/>
                <w:szCs w:val="24"/>
              </w:rPr>
              <w:t xml:space="preserve">违规收送礼金和其他礼品 </w:t>
            </w:r>
          </w:p>
        </w:tc>
        <w:tc>
          <w:tcPr>
            <w:tcW w:w="530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（2）通过网购、快递、提货券、电子礼品卡、电子红包等衍生工具收送礼品礼金和名贵特产。 </w:t>
            </w:r>
          </w:p>
        </w:tc>
      </w:tr>
      <w:tr>
        <w:tblPrEx>
          <w:tblCellMar>
            <w:top w:w="48" w:type="dxa"/>
            <w:left w:w="0" w:type="dxa"/>
            <w:bottom w:w="0" w:type="dxa"/>
            <w:right w:w="0" w:type="dxa"/>
          </w:tblCellMar>
        </w:tblPrEx>
        <w:trPr>
          <w:trHeight w:val="744"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301"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（3）让管理服务对象等提供礼品礼金和名贵特产用于赠送，或让其报销相关费用。 </w:t>
            </w:r>
          </w:p>
        </w:tc>
      </w:tr>
      <w:tr>
        <w:tblPrEx>
          <w:tblCellMar>
            <w:top w:w="48" w:type="dxa"/>
            <w:left w:w="0" w:type="dxa"/>
            <w:bottom w:w="0" w:type="dxa"/>
            <w:right w:w="0" w:type="dxa"/>
          </w:tblCellMar>
        </w:tblPrEx>
        <w:trPr>
          <w:trHeight w:val="812"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30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（4）利用业务范围或管辖范围内的名贵特产资源、礼品等收送礼品、谋取私利、干预经营等。</w:t>
            </w:r>
          </w:p>
        </w:tc>
      </w:tr>
      <w:tr>
        <w:tblPrEx>
          <w:tblCellMar>
            <w:top w:w="48" w:type="dxa"/>
            <w:left w:w="0" w:type="dxa"/>
            <w:bottom w:w="0" w:type="dxa"/>
            <w:right w:w="0" w:type="dxa"/>
          </w:tblCellMar>
        </w:tblPrEx>
        <w:trPr>
          <w:trHeight w:val="501"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530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（5）其他违规收送礼品礼金和名贵特产问题。 </w:t>
            </w:r>
          </w:p>
        </w:tc>
      </w:tr>
      <w:tr>
        <w:tblPrEx>
          <w:tblCellMar>
            <w:top w:w="48" w:type="dxa"/>
            <w:left w:w="0" w:type="dxa"/>
            <w:bottom w:w="0" w:type="dxa"/>
            <w:right w:w="0" w:type="dxa"/>
          </w:tblCellMar>
        </w:tblPrEx>
        <w:trPr>
          <w:trHeight w:val="813"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851" w:type="dxa"/>
            <w:vMerge w:val="restart"/>
            <w:tcBorders>
              <w:top w:val="single" w:color="000000" w:sz="4" w:space="0"/>
              <w:left w:val="single" w:color="000000" w:sz="4" w:space="0"/>
              <w:bottom w:val="single" w:color="000000" w:sz="4" w:space="0"/>
              <w:right w:val="single" w:color="000000" w:sz="4" w:space="0"/>
            </w:tcBorders>
          </w:tcPr>
          <w:p>
            <w:pPr>
              <w:spacing w:after="1118" w:line="259" w:lineRule="auto"/>
              <w:ind w:left="-29"/>
              <w:rPr>
                <w:rFonts w:ascii="仿宋_GB2312" w:hAnsi="宋体" w:eastAsia="仿宋_GB2312"/>
                <w:sz w:val="24"/>
                <w:szCs w:val="24"/>
              </w:rPr>
            </w:pPr>
            <w:r>
              <w:rPr>
                <w:rFonts w:hint="eastAsia" w:ascii="仿宋_GB2312" w:hAnsi="宋体" w:eastAsia="仿宋_GB2312"/>
                <w:sz w:val="24"/>
                <w:szCs w:val="24"/>
              </w:rPr>
              <w:t xml:space="preserve"> </w:t>
            </w:r>
          </w:p>
          <w:p>
            <w:pPr>
              <w:spacing w:line="259" w:lineRule="auto"/>
              <w:ind w:left="187" w:hanging="115"/>
              <w:rPr>
                <w:rFonts w:ascii="仿宋_GB2312" w:hAnsi="宋体" w:eastAsia="仿宋_GB2312"/>
                <w:sz w:val="24"/>
                <w:szCs w:val="24"/>
              </w:rPr>
            </w:pPr>
            <w:r>
              <w:rPr>
                <w:rFonts w:hint="eastAsia" w:ascii="仿宋_GB2312" w:hAnsi="宋体" w:eastAsia="仿宋_GB2312"/>
                <w:sz w:val="24"/>
                <w:szCs w:val="24"/>
              </w:rPr>
              <w:t xml:space="preserve">2.违规吃喝 </w:t>
            </w:r>
          </w:p>
        </w:tc>
        <w:tc>
          <w:tcPr>
            <w:tcW w:w="182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02"/>
              <w:rPr>
                <w:rFonts w:ascii="仿宋_GB2312" w:hAnsi="宋体" w:eastAsia="仿宋_GB2312"/>
                <w:sz w:val="24"/>
                <w:szCs w:val="24"/>
              </w:rPr>
            </w:pPr>
            <w:r>
              <w:rPr>
                <w:rFonts w:hint="eastAsia" w:ascii="仿宋_GB2312" w:hAnsi="宋体" w:eastAsia="仿宋_GB2312"/>
                <w:sz w:val="24"/>
                <w:szCs w:val="24"/>
              </w:rPr>
              <w:t xml:space="preserve">违规公款吃喝 </w:t>
            </w:r>
          </w:p>
        </w:tc>
        <w:tc>
          <w:tcPr>
            <w:tcW w:w="530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（1）无公务的大吃大喝问题。如：私人聚会吃饭用公款报销，单位之间或内部搞公款宴请等。 </w:t>
            </w:r>
          </w:p>
        </w:tc>
      </w:tr>
      <w:tr>
        <w:tblPrEx>
          <w:tblCellMar>
            <w:top w:w="48" w:type="dxa"/>
            <w:left w:w="0" w:type="dxa"/>
            <w:bottom w:w="0" w:type="dxa"/>
            <w:right w:w="0" w:type="dxa"/>
          </w:tblCellMar>
        </w:tblPrEx>
        <w:trPr>
          <w:trHeight w:val="1060"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30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（2）公务接待中超标准公款吃喝或未履行公务接待手续进行公款吃喝。主要是餐费超标、用高档菜肴或酒水等。 </w:t>
            </w:r>
          </w:p>
        </w:tc>
      </w:tr>
      <w:tr>
        <w:tblPrEx>
          <w:tblCellMar>
            <w:top w:w="48" w:type="dxa"/>
            <w:left w:w="0" w:type="dxa"/>
            <w:bottom w:w="0" w:type="dxa"/>
            <w:right w:w="0" w:type="dxa"/>
          </w:tblCellMar>
        </w:tblPrEx>
        <w:trPr>
          <w:trHeight w:val="758"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30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（3）违规接受管理服务对象公款宴请，或让其用公款报销吃喝费用。 </w:t>
            </w:r>
          </w:p>
        </w:tc>
      </w:tr>
      <w:tr>
        <w:tblPrEx>
          <w:tblCellMar>
            <w:top w:w="48" w:type="dxa"/>
            <w:left w:w="0" w:type="dxa"/>
            <w:bottom w:w="0" w:type="dxa"/>
            <w:right w:w="0" w:type="dxa"/>
          </w:tblCellMar>
        </w:tblPrEx>
        <w:trPr>
          <w:trHeight w:val="9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5301"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（4）到高档小区或写字楼等隐蔽场所“一桌餐”公款吃喝。 </w:t>
            </w:r>
          </w:p>
        </w:tc>
      </w:tr>
    </w:tbl>
    <w:p>
      <w:pPr>
        <w:spacing w:line="259" w:lineRule="auto"/>
        <w:ind w:right="96"/>
        <w:rPr>
          <w:rFonts w:ascii="仿宋_GB2312" w:hAnsi="宋体" w:eastAsia="仿宋_GB2312"/>
          <w:sz w:val="24"/>
          <w:szCs w:val="24"/>
        </w:rPr>
      </w:pPr>
    </w:p>
    <w:tbl>
      <w:tblPr>
        <w:tblStyle w:val="4"/>
        <w:tblW w:w="8865" w:type="dxa"/>
        <w:tblInd w:w="-14" w:type="dxa"/>
        <w:tblLayout w:type="autofit"/>
        <w:tblCellMar>
          <w:top w:w="50" w:type="dxa"/>
          <w:left w:w="0" w:type="dxa"/>
          <w:bottom w:w="0" w:type="dxa"/>
          <w:right w:w="0" w:type="dxa"/>
        </w:tblCellMar>
      </w:tblPr>
      <w:tblGrid>
        <w:gridCol w:w="986"/>
        <w:gridCol w:w="841"/>
        <w:gridCol w:w="1800"/>
        <w:gridCol w:w="5238"/>
      </w:tblGrid>
      <w:tr>
        <w:tblPrEx>
          <w:tblCellMar>
            <w:top w:w="50" w:type="dxa"/>
            <w:left w:w="0" w:type="dxa"/>
            <w:bottom w:w="0" w:type="dxa"/>
            <w:right w:w="0" w:type="dxa"/>
          </w:tblCellMar>
        </w:tblPrEx>
        <w:trPr>
          <w:trHeight w:val="612"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9" w:firstLine="115"/>
              <w:rPr>
                <w:rFonts w:ascii="仿宋_GB2312" w:hAnsi="宋体" w:eastAsia="仿宋_GB2312"/>
                <w:sz w:val="24"/>
                <w:szCs w:val="24"/>
              </w:rPr>
            </w:pPr>
            <w:r>
              <w:rPr>
                <w:rFonts w:hint="eastAsia" w:ascii="仿宋_GB2312" w:hAnsi="宋体" w:eastAsia="仿宋_GB2312"/>
                <w:sz w:val="24"/>
                <w:szCs w:val="24"/>
              </w:rPr>
              <w:t>享乐主义、奢靡之风问题</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72"/>
              <w:rPr>
                <w:rFonts w:ascii="仿宋_GB2312" w:hAnsi="宋体" w:eastAsia="仿宋_GB2312"/>
                <w:sz w:val="24"/>
                <w:szCs w:val="24"/>
              </w:rPr>
            </w:pPr>
            <w:r>
              <w:rPr>
                <w:rFonts w:hint="eastAsia" w:ascii="仿宋_GB2312" w:hAnsi="宋体" w:eastAsia="仿宋_GB2312"/>
                <w:sz w:val="24"/>
                <w:szCs w:val="24"/>
              </w:rPr>
              <w:t>2.违规</w:t>
            </w:r>
          </w:p>
          <w:p>
            <w:pPr>
              <w:spacing w:line="259" w:lineRule="auto"/>
              <w:ind w:left="187"/>
              <w:rPr>
                <w:rFonts w:ascii="仿宋_GB2312" w:hAnsi="宋体" w:eastAsia="仿宋_GB2312"/>
                <w:sz w:val="24"/>
                <w:szCs w:val="24"/>
              </w:rPr>
            </w:pPr>
            <w:r>
              <w:rPr>
                <w:rFonts w:hint="eastAsia" w:ascii="仿宋_GB2312" w:hAnsi="宋体" w:eastAsia="仿宋_GB2312"/>
                <w:sz w:val="24"/>
                <w:szCs w:val="24"/>
              </w:rPr>
              <w:t xml:space="preserve">吃喝 </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02"/>
              <w:rPr>
                <w:rFonts w:ascii="仿宋_GB2312" w:hAnsi="宋体" w:eastAsia="仿宋_GB2312"/>
                <w:sz w:val="24"/>
                <w:szCs w:val="24"/>
              </w:rPr>
            </w:pPr>
            <w:r>
              <w:rPr>
                <w:rFonts w:hint="eastAsia" w:ascii="仿宋_GB2312" w:hAnsi="宋体" w:eastAsia="仿宋_GB2312"/>
                <w:sz w:val="24"/>
                <w:szCs w:val="24"/>
              </w:rPr>
              <w:t xml:space="preserve">违规公款吃喝 </w:t>
            </w: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（5）违规在内部食堂、培训中心、驻外办事机构等内部接待场所公款吃喝。 </w:t>
            </w:r>
          </w:p>
        </w:tc>
      </w:tr>
      <w:tr>
        <w:tblPrEx>
          <w:tblCellMar>
            <w:top w:w="50" w:type="dxa"/>
            <w:left w:w="0" w:type="dxa"/>
            <w:bottom w:w="0" w:type="dxa"/>
            <w:right w:w="0" w:type="dxa"/>
          </w:tblCellMar>
        </w:tblPrEx>
        <w:trPr>
          <w:trHeight w:val="698"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（6）虚列开支公款购买高档酒水或用公款购买酒水。 </w:t>
            </w:r>
          </w:p>
        </w:tc>
      </w:tr>
      <w:tr>
        <w:tblPrEx>
          <w:tblCellMar>
            <w:top w:w="50" w:type="dxa"/>
            <w:left w:w="0" w:type="dxa"/>
            <w:bottom w:w="0" w:type="dxa"/>
            <w:right w:w="0" w:type="dxa"/>
          </w:tblCellMar>
        </w:tblPrEx>
        <w:trPr>
          <w:trHeight w:val="674"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（7）以办公用品、会议费等虚假名义公款报销餐费或将违规吃喝费用混入食堂正常开支。 </w:t>
            </w:r>
          </w:p>
        </w:tc>
      </w:tr>
      <w:tr>
        <w:tblPrEx>
          <w:tblCellMar>
            <w:top w:w="50" w:type="dxa"/>
            <w:left w:w="0" w:type="dxa"/>
            <w:bottom w:w="0" w:type="dxa"/>
            <w:right w:w="0" w:type="dxa"/>
          </w:tblCellMar>
        </w:tblPrEx>
        <w:trPr>
          <w:trHeight w:val="521"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（8）其他违规用公款吃喝的问题。 </w:t>
            </w:r>
          </w:p>
        </w:tc>
      </w:tr>
      <w:tr>
        <w:tblPrEx>
          <w:tblCellMar>
            <w:top w:w="50" w:type="dxa"/>
            <w:left w:w="0" w:type="dxa"/>
            <w:bottom w:w="0" w:type="dxa"/>
            <w:right w:w="0" w:type="dxa"/>
          </w:tblCellMar>
        </w:tblPrEx>
        <w:trPr>
          <w:trHeight w:val="1030"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宋体" w:eastAsia="仿宋_GB2312"/>
                <w:sz w:val="24"/>
                <w:szCs w:val="24"/>
              </w:rPr>
            </w:pPr>
            <w:r>
              <w:rPr>
                <w:rFonts w:hint="eastAsia" w:ascii="仿宋_GB2312" w:hAnsi="宋体" w:eastAsia="仿宋_GB2312"/>
                <w:sz w:val="24"/>
                <w:szCs w:val="24"/>
              </w:rPr>
              <w:t>违规接受管理</w:t>
            </w:r>
            <w:r>
              <w:rPr>
                <w:rFonts w:hint="eastAsia" w:ascii="仿宋_GB2312" w:hAnsi="宋体" w:eastAsia="仿宋_GB2312"/>
                <w:sz w:val="24"/>
                <w:szCs w:val="24"/>
                <w:lang w:val="en-US" w:eastAsia="zh-CN"/>
              </w:rPr>
              <w:t>和</w:t>
            </w:r>
            <w:r>
              <w:rPr>
                <w:rFonts w:hint="eastAsia" w:ascii="仿宋_GB2312" w:hAnsi="宋体" w:eastAsia="仿宋_GB2312"/>
                <w:sz w:val="24"/>
                <w:szCs w:val="24"/>
              </w:rPr>
              <w:t xml:space="preserve">服务对象等宴请 </w:t>
            </w: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（1）接受管理服务对象的私款宴请、旅游安排和高消费娱乐建设活动等问题。 </w:t>
            </w:r>
          </w:p>
        </w:tc>
      </w:tr>
      <w:tr>
        <w:tblPrEx>
          <w:tblCellMar>
            <w:top w:w="50" w:type="dxa"/>
            <w:left w:w="0" w:type="dxa"/>
            <w:bottom w:w="0" w:type="dxa"/>
            <w:right w:w="0" w:type="dxa"/>
          </w:tblCellMar>
        </w:tblPrEx>
        <w:trPr>
          <w:trHeight w:val="806"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ight="-82"/>
              <w:rPr>
                <w:rFonts w:ascii="仿宋_GB2312" w:hAnsi="宋体" w:eastAsia="仿宋_GB2312"/>
                <w:sz w:val="24"/>
                <w:szCs w:val="24"/>
              </w:rPr>
            </w:pPr>
            <w:r>
              <w:rPr>
                <w:rFonts w:hint="eastAsia" w:ascii="仿宋_GB2312" w:hAnsi="宋体" w:eastAsia="仿宋_GB2312"/>
                <w:sz w:val="24"/>
                <w:szCs w:val="24"/>
              </w:rPr>
              <w:t xml:space="preserve">（2）工作业务范围内的外资、私营企业出资的宴请、旅游安排和高消费娱乐健身活动等问题。 </w:t>
            </w:r>
          </w:p>
        </w:tc>
      </w:tr>
      <w:tr>
        <w:tblPrEx>
          <w:tblCellMar>
            <w:top w:w="50" w:type="dxa"/>
            <w:left w:w="0" w:type="dxa"/>
            <w:bottom w:w="0" w:type="dxa"/>
            <w:right w:w="0" w:type="dxa"/>
          </w:tblCellMar>
        </w:tblPrEx>
        <w:trPr>
          <w:trHeight w:val="490"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264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9"/>
              <w:rPr>
                <w:rFonts w:ascii="仿宋_GB2312" w:hAnsi="宋体" w:eastAsia="仿宋_GB2312"/>
                <w:sz w:val="24"/>
                <w:szCs w:val="24"/>
              </w:rPr>
            </w:pPr>
            <w:r>
              <w:rPr>
                <w:rFonts w:hint="eastAsia" w:ascii="仿宋_GB2312" w:hAnsi="宋体" w:eastAsia="仿宋_GB2312"/>
                <w:sz w:val="24"/>
                <w:szCs w:val="24"/>
              </w:rPr>
              <w:t xml:space="preserve"> 3.违规操办婚丧喜庆</w:t>
            </w: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（1）大操大办造成社会不良影响。 </w:t>
            </w:r>
          </w:p>
        </w:tc>
      </w:tr>
      <w:tr>
        <w:tblPrEx>
          <w:tblCellMar>
            <w:top w:w="50" w:type="dxa"/>
            <w:left w:w="0" w:type="dxa"/>
            <w:bottom w:w="0" w:type="dxa"/>
            <w:right w:w="0" w:type="dxa"/>
          </w:tblCellMar>
        </w:tblPrEx>
        <w:trPr>
          <w:trHeight w:val="638"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（2）借机敛财或者有其他侵犯国家、集体和人民利益行为的。 </w:t>
            </w:r>
          </w:p>
        </w:tc>
      </w:tr>
      <w:tr>
        <w:tblPrEx>
          <w:tblCellMar>
            <w:top w:w="50" w:type="dxa"/>
            <w:left w:w="0" w:type="dxa"/>
            <w:bottom w:w="0" w:type="dxa"/>
            <w:right w:w="0" w:type="dxa"/>
          </w:tblCellMar>
        </w:tblPrEx>
        <w:trPr>
          <w:trHeight w:val="782"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（3）操办婚丧喜庆过程中违反相关规定，比如：未按规定报告操办事宜、收受管理服务对象礼金等。 </w:t>
            </w:r>
          </w:p>
        </w:tc>
      </w:tr>
      <w:tr>
        <w:tblPrEx>
          <w:tblCellMar>
            <w:top w:w="50" w:type="dxa"/>
            <w:left w:w="0" w:type="dxa"/>
            <w:bottom w:w="0" w:type="dxa"/>
            <w:right w:w="0" w:type="dxa"/>
          </w:tblCellMar>
        </w:tblPrEx>
        <w:trPr>
          <w:trHeight w:val="641"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ight="-80"/>
              <w:rPr>
                <w:rFonts w:ascii="仿宋_GB2312" w:hAnsi="宋体" w:eastAsia="仿宋_GB2312"/>
                <w:sz w:val="24"/>
                <w:szCs w:val="24"/>
              </w:rPr>
            </w:pPr>
            <w:r>
              <w:rPr>
                <w:rFonts w:hint="eastAsia" w:ascii="仿宋_GB2312" w:hAnsi="宋体" w:eastAsia="仿宋_GB2312"/>
                <w:sz w:val="24"/>
                <w:szCs w:val="24"/>
              </w:rPr>
              <w:t xml:space="preserve">（4）变换形式违规操办，比如：化整为零多次操办，异地操办，以他人名义操办等。 </w:t>
            </w:r>
          </w:p>
        </w:tc>
      </w:tr>
      <w:tr>
        <w:tblPrEx>
          <w:tblCellMar>
            <w:top w:w="50" w:type="dxa"/>
            <w:left w:w="0" w:type="dxa"/>
            <w:bottom w:w="0" w:type="dxa"/>
            <w:right w:w="0" w:type="dxa"/>
          </w:tblCellMar>
        </w:tblPrEx>
        <w:trPr>
          <w:trHeight w:val="869"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（5）借操办婚丧喜庆事宜暗自收受礼金、安排他人收受礼金、通过微信红包等衍生工具收受礼金等。 </w:t>
            </w:r>
          </w:p>
        </w:tc>
      </w:tr>
      <w:tr>
        <w:tblPrEx>
          <w:tblCellMar>
            <w:top w:w="50" w:type="dxa"/>
            <w:left w:w="0" w:type="dxa"/>
            <w:bottom w:w="0" w:type="dxa"/>
            <w:right w:w="0" w:type="dxa"/>
          </w:tblCellMar>
        </w:tblPrEx>
        <w:trPr>
          <w:trHeight w:val="581"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（6）其他大办婚丧喜庆的违规问题。 </w:t>
            </w:r>
          </w:p>
        </w:tc>
      </w:tr>
      <w:tr>
        <w:tblPrEx>
          <w:tblCellMar>
            <w:top w:w="50" w:type="dxa"/>
            <w:left w:w="0" w:type="dxa"/>
            <w:bottom w:w="0" w:type="dxa"/>
            <w:right w:w="0" w:type="dxa"/>
          </w:tblCellMar>
        </w:tblPrEx>
        <w:trPr>
          <w:trHeight w:val="701"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264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43"/>
              <w:rPr>
                <w:rFonts w:ascii="仿宋_GB2312" w:hAnsi="宋体" w:eastAsia="仿宋_GB2312"/>
                <w:sz w:val="24"/>
                <w:szCs w:val="24"/>
              </w:rPr>
            </w:pPr>
            <w:r>
              <w:rPr>
                <w:rFonts w:hint="eastAsia" w:ascii="仿宋_GB2312" w:hAnsi="宋体" w:eastAsia="仿宋_GB2312"/>
                <w:sz w:val="24"/>
                <w:szCs w:val="24"/>
              </w:rPr>
              <w:t>4.违规发放津补贴或福利</w:t>
            </w: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（1）超过规定标准、擅自扩大或缩小范围发放津贴补贴或福利。 </w:t>
            </w:r>
          </w:p>
        </w:tc>
      </w:tr>
      <w:tr>
        <w:tblPrEx>
          <w:tblCellMar>
            <w:top w:w="50" w:type="dxa"/>
            <w:left w:w="0" w:type="dxa"/>
            <w:bottom w:w="0" w:type="dxa"/>
            <w:right w:w="0" w:type="dxa"/>
          </w:tblCellMar>
        </w:tblPrEx>
        <w:trPr>
          <w:trHeight w:val="730"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7" w:right="-82"/>
              <w:rPr>
                <w:rFonts w:ascii="仿宋_GB2312" w:hAnsi="宋体" w:eastAsia="仿宋_GB2312"/>
                <w:sz w:val="24"/>
                <w:szCs w:val="24"/>
              </w:rPr>
            </w:pPr>
            <w:r>
              <w:rPr>
                <w:rFonts w:hint="eastAsia" w:ascii="仿宋_GB2312" w:hAnsi="宋体" w:eastAsia="仿宋_GB2312"/>
                <w:sz w:val="24"/>
                <w:szCs w:val="24"/>
              </w:rPr>
              <w:t>（2）擅自出台政策，发放奖励性补贴、改革性补贴，</w:t>
            </w:r>
          </w:p>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超标准、超范围发放年终奖等。 </w:t>
            </w:r>
          </w:p>
        </w:tc>
      </w:tr>
      <w:tr>
        <w:tblPrEx>
          <w:tblCellMar>
            <w:top w:w="50" w:type="dxa"/>
            <w:left w:w="0" w:type="dxa"/>
            <w:bottom w:w="0" w:type="dxa"/>
            <w:right w:w="0" w:type="dxa"/>
          </w:tblCellMar>
        </w:tblPrEx>
        <w:trPr>
          <w:trHeight w:val="730"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（3）巧立名目滥发钱物，或弄虚作假套取费用，或用“小金库”列支等。 </w:t>
            </w:r>
          </w:p>
        </w:tc>
      </w:tr>
      <w:tr>
        <w:tblPrEx>
          <w:tblCellMar>
            <w:top w:w="50" w:type="dxa"/>
            <w:left w:w="0" w:type="dxa"/>
            <w:bottom w:w="0" w:type="dxa"/>
            <w:right w:w="0" w:type="dxa"/>
          </w:tblCellMar>
        </w:tblPrEx>
        <w:trPr>
          <w:trHeight w:val="550"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（4）其他违规发放津贴补贴或福利问题。 </w:t>
            </w:r>
          </w:p>
        </w:tc>
      </w:tr>
      <w:tr>
        <w:tblPrEx>
          <w:tblCellMar>
            <w:top w:w="50" w:type="dxa"/>
            <w:left w:w="0" w:type="dxa"/>
            <w:bottom w:w="0" w:type="dxa"/>
            <w:right w:w="0" w:type="dxa"/>
          </w:tblCellMar>
        </w:tblPrEx>
        <w:trPr>
          <w:trHeight w:val="103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宋体" w:eastAsia="仿宋_GB2312"/>
                <w:sz w:val="24"/>
                <w:szCs w:val="24"/>
              </w:rPr>
            </w:pPr>
            <w:r>
              <w:rPr>
                <w:rFonts w:hint="eastAsia" w:ascii="仿宋_GB2312" w:hAnsi="宋体" w:eastAsia="仿宋_GB2312"/>
                <w:sz w:val="24"/>
                <w:szCs w:val="24"/>
              </w:rPr>
              <w:t xml:space="preserve">5.公款旅游以及违规接受管理和服务对象等旅游活动安排 </w:t>
            </w: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ight="-81"/>
              <w:rPr>
                <w:rFonts w:ascii="仿宋_GB2312" w:hAnsi="宋体" w:eastAsia="仿宋_GB2312"/>
                <w:sz w:val="24"/>
                <w:szCs w:val="24"/>
              </w:rPr>
            </w:pPr>
            <w:r>
              <w:rPr>
                <w:rFonts w:hint="eastAsia" w:ascii="仿宋_GB2312" w:hAnsi="宋体" w:eastAsia="仿宋_GB2312"/>
                <w:sz w:val="24"/>
                <w:szCs w:val="24"/>
              </w:rPr>
              <w:t xml:space="preserve">（1）虚构名目公款旅游或公款出国（境）旅游，主要以考察调研、招商引资、培训、奖励激励等名义，打着公务的幌子旅游。 </w:t>
            </w:r>
          </w:p>
        </w:tc>
      </w:tr>
    </w:tbl>
    <w:p>
      <w:pPr>
        <w:spacing w:line="259" w:lineRule="auto"/>
        <w:rPr>
          <w:rFonts w:ascii="仿宋_GB2312" w:hAnsi="宋体" w:eastAsia="仿宋_GB2312"/>
          <w:sz w:val="24"/>
          <w:szCs w:val="24"/>
        </w:rPr>
      </w:pPr>
    </w:p>
    <w:tbl>
      <w:tblPr>
        <w:tblStyle w:val="4"/>
        <w:tblW w:w="8865" w:type="dxa"/>
        <w:tblInd w:w="-14" w:type="dxa"/>
        <w:tblLayout w:type="autofit"/>
        <w:tblCellMar>
          <w:top w:w="48" w:type="dxa"/>
          <w:left w:w="0" w:type="dxa"/>
          <w:bottom w:w="0" w:type="dxa"/>
          <w:right w:w="0" w:type="dxa"/>
        </w:tblCellMar>
      </w:tblPr>
      <w:tblGrid>
        <w:gridCol w:w="986"/>
        <w:gridCol w:w="841"/>
        <w:gridCol w:w="1800"/>
        <w:gridCol w:w="5238"/>
      </w:tblGrid>
      <w:tr>
        <w:tblPrEx>
          <w:tblCellMar>
            <w:top w:w="48" w:type="dxa"/>
            <w:left w:w="0" w:type="dxa"/>
            <w:bottom w:w="0" w:type="dxa"/>
            <w:right w:w="0" w:type="dxa"/>
          </w:tblCellMar>
        </w:tblPrEx>
        <w:trPr>
          <w:trHeight w:val="612"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9" w:firstLine="115"/>
              <w:rPr>
                <w:rFonts w:ascii="仿宋_GB2312" w:hAnsi="宋体" w:eastAsia="仿宋_GB2312"/>
                <w:sz w:val="24"/>
                <w:szCs w:val="24"/>
              </w:rPr>
            </w:pPr>
            <w:r>
              <w:rPr>
                <w:rFonts w:hint="eastAsia" w:ascii="仿宋_GB2312" w:hAnsi="宋体" w:eastAsia="仿宋_GB2312"/>
                <w:sz w:val="24"/>
                <w:szCs w:val="24"/>
              </w:rPr>
              <w:t>享乐主义、奢靡之风问题</w:t>
            </w:r>
          </w:p>
        </w:tc>
        <w:tc>
          <w:tcPr>
            <w:tcW w:w="264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宋体" w:eastAsia="仿宋_GB2312"/>
                <w:sz w:val="24"/>
                <w:szCs w:val="24"/>
              </w:rPr>
            </w:pPr>
            <w:r>
              <w:rPr>
                <w:rFonts w:hint="eastAsia" w:ascii="仿宋_GB2312" w:hAnsi="宋体" w:eastAsia="仿宋_GB2312"/>
                <w:sz w:val="24"/>
                <w:szCs w:val="24"/>
              </w:rPr>
              <w:t xml:space="preserve">5.公款旅游以及违规接受管理和服务对象等旅游活动安排 </w:t>
            </w: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（2）借公务之机公款旅游或公款出国（境）旅游，主要是擅自改变行程、绕道或延长时间旅游。 </w:t>
            </w:r>
          </w:p>
        </w:tc>
      </w:tr>
      <w:tr>
        <w:tblPrEx>
          <w:tblCellMar>
            <w:top w:w="48" w:type="dxa"/>
            <w:left w:w="0" w:type="dxa"/>
            <w:bottom w:w="0" w:type="dxa"/>
            <w:right w:w="0" w:type="dxa"/>
          </w:tblCellMar>
        </w:tblPrEx>
        <w:trPr>
          <w:trHeight w:val="610"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（3）接受管理服务对象等公款安排的旅游或公款出国（境）旅游，或由其报销旅游费用。 </w:t>
            </w:r>
          </w:p>
        </w:tc>
      </w:tr>
      <w:tr>
        <w:tblPrEx>
          <w:tblCellMar>
            <w:top w:w="48" w:type="dxa"/>
            <w:left w:w="0" w:type="dxa"/>
            <w:bottom w:w="0" w:type="dxa"/>
            <w:right w:w="0" w:type="dxa"/>
          </w:tblCellMar>
        </w:tblPrEx>
        <w:trPr>
          <w:trHeight w:val="548"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（4）其他用公款旅游或公款出国（境）旅游的违纪问题。 </w:t>
            </w:r>
          </w:p>
        </w:tc>
      </w:tr>
      <w:tr>
        <w:tblPrEx>
          <w:tblCellMar>
            <w:top w:w="48" w:type="dxa"/>
            <w:left w:w="0" w:type="dxa"/>
            <w:bottom w:w="0" w:type="dxa"/>
            <w:right w:w="0" w:type="dxa"/>
          </w:tblCellMar>
        </w:tblPrEx>
        <w:trPr>
          <w:trHeight w:val="388"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841" w:type="dxa"/>
            <w:vMerge w:val="restart"/>
            <w:tcBorders>
              <w:top w:val="single" w:color="000000" w:sz="4" w:space="0"/>
              <w:left w:val="single" w:color="000000" w:sz="4" w:space="0"/>
              <w:bottom w:val="single" w:color="000000" w:sz="4" w:space="0"/>
              <w:right w:val="single" w:color="000000" w:sz="4" w:space="0"/>
            </w:tcBorders>
          </w:tcPr>
          <w:p>
            <w:pPr>
              <w:spacing w:after="341" w:line="259" w:lineRule="auto"/>
              <w:ind w:left="-29"/>
              <w:rPr>
                <w:rFonts w:ascii="仿宋_GB2312" w:hAnsi="宋体" w:eastAsia="仿宋_GB2312"/>
                <w:sz w:val="24"/>
                <w:szCs w:val="24"/>
              </w:rPr>
            </w:pPr>
            <w:r>
              <w:rPr>
                <w:rFonts w:hint="eastAsia" w:ascii="仿宋_GB2312" w:hAnsi="宋体" w:eastAsia="仿宋_GB2312"/>
                <w:sz w:val="24"/>
                <w:szCs w:val="24"/>
              </w:rPr>
              <w:t xml:space="preserve"> </w:t>
            </w:r>
          </w:p>
          <w:p>
            <w:pPr>
              <w:spacing w:line="259" w:lineRule="auto"/>
              <w:ind w:left="72"/>
              <w:rPr>
                <w:rFonts w:ascii="仿宋_GB2312" w:hAnsi="宋体" w:eastAsia="仿宋_GB2312"/>
                <w:sz w:val="24"/>
                <w:szCs w:val="24"/>
              </w:rPr>
            </w:pPr>
            <w:r>
              <w:rPr>
                <w:rFonts w:hint="eastAsia" w:ascii="仿宋_GB2312" w:hAnsi="宋体" w:eastAsia="仿宋_GB2312"/>
                <w:sz w:val="24"/>
                <w:szCs w:val="24"/>
              </w:rPr>
              <w:t xml:space="preserve">6.其他 </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宋体" w:eastAsia="仿宋_GB2312"/>
                <w:sz w:val="24"/>
                <w:szCs w:val="24"/>
              </w:rPr>
            </w:pPr>
            <w:r>
              <w:rPr>
                <w:rFonts w:hint="eastAsia" w:ascii="仿宋_GB2312" w:hAnsi="宋体" w:eastAsia="仿宋_GB2312"/>
                <w:sz w:val="24"/>
                <w:szCs w:val="24"/>
              </w:rPr>
              <w:t xml:space="preserve">违规配备和使用公车 </w:t>
            </w: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（1）超标准配备公车。 </w:t>
            </w:r>
          </w:p>
        </w:tc>
      </w:tr>
      <w:tr>
        <w:tblPrEx>
          <w:tblCellMar>
            <w:top w:w="48" w:type="dxa"/>
            <w:left w:w="0" w:type="dxa"/>
            <w:bottom w:w="0" w:type="dxa"/>
            <w:right w:w="0" w:type="dxa"/>
          </w:tblCellMar>
        </w:tblPrEx>
        <w:trPr>
          <w:trHeight w:val="366"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（2）公车私用、私车公养。 </w:t>
            </w:r>
          </w:p>
        </w:tc>
      </w:tr>
      <w:tr>
        <w:tblPrEx>
          <w:tblCellMar>
            <w:top w:w="48" w:type="dxa"/>
            <w:left w:w="0" w:type="dxa"/>
            <w:bottom w:w="0" w:type="dxa"/>
            <w:right w:w="0" w:type="dxa"/>
          </w:tblCellMar>
        </w:tblPrEx>
        <w:trPr>
          <w:trHeight w:val="373"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（3）违规向管理服务对象或私人借车。</w:t>
            </w:r>
          </w:p>
        </w:tc>
      </w:tr>
      <w:tr>
        <w:tblPrEx>
          <w:tblCellMar>
            <w:top w:w="48" w:type="dxa"/>
            <w:left w:w="0" w:type="dxa"/>
            <w:bottom w:w="0" w:type="dxa"/>
            <w:right w:w="0" w:type="dxa"/>
          </w:tblCellMar>
        </w:tblPrEx>
        <w:trPr>
          <w:trHeight w:val="610"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top"/>
          </w:tcPr>
          <w:p>
            <w:pPr>
              <w:spacing w:line="259" w:lineRule="auto"/>
              <w:ind w:left="17" w:leftChars="0"/>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4</w:t>
            </w:r>
            <w:r>
              <w:rPr>
                <w:rFonts w:hint="eastAsia" w:ascii="仿宋_GB2312" w:hAnsi="宋体" w:eastAsia="仿宋_GB2312"/>
                <w:sz w:val="24"/>
                <w:szCs w:val="24"/>
              </w:rPr>
              <w:t xml:space="preserve">）在公车相关账户或费用中报销私家车有关费用、私人开支费用等。 </w:t>
            </w:r>
          </w:p>
        </w:tc>
      </w:tr>
      <w:tr>
        <w:tblPrEx>
          <w:tblCellMar>
            <w:top w:w="48" w:type="dxa"/>
            <w:left w:w="0" w:type="dxa"/>
            <w:bottom w:w="0" w:type="dxa"/>
            <w:right w:w="0" w:type="dxa"/>
          </w:tblCellMar>
        </w:tblPrEx>
        <w:trPr>
          <w:trHeight w:val="612"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leftChars="0"/>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5</w:t>
            </w:r>
            <w:r>
              <w:rPr>
                <w:rFonts w:hint="eastAsia" w:ascii="仿宋_GB2312" w:hAnsi="宋体" w:eastAsia="仿宋_GB2312"/>
                <w:sz w:val="24"/>
                <w:szCs w:val="24"/>
              </w:rPr>
              <w:t>）用公务加油卡给私家车加油或用于个人消费。</w:t>
            </w:r>
          </w:p>
        </w:tc>
      </w:tr>
      <w:tr>
        <w:tblPrEx>
          <w:tblCellMar>
            <w:top w:w="48" w:type="dxa"/>
            <w:left w:w="0" w:type="dxa"/>
            <w:bottom w:w="0" w:type="dxa"/>
            <w:right w:w="0" w:type="dxa"/>
          </w:tblCellMar>
        </w:tblPrEx>
        <w:trPr>
          <w:trHeight w:val="822"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top"/>
          </w:tcPr>
          <w:p>
            <w:pPr>
              <w:spacing w:line="259" w:lineRule="auto"/>
              <w:ind w:left="17" w:leftChars="0"/>
              <w:rPr>
                <w:rFonts w:ascii="仿宋_GB2312" w:hAnsi="宋体" w:eastAsia="仿宋_GB2312" w:cstheme="minorBidi"/>
                <w:kern w:val="2"/>
                <w:sz w:val="24"/>
                <w:szCs w:val="24"/>
                <w:lang w:val="en-US" w:eastAsia="zh-CN" w:bidi="ar-SA"/>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6</w:t>
            </w:r>
            <w:r>
              <w:rPr>
                <w:rFonts w:hint="eastAsia" w:ascii="仿宋_GB2312" w:hAnsi="宋体" w:eastAsia="仿宋_GB2312"/>
                <w:sz w:val="24"/>
                <w:szCs w:val="24"/>
              </w:rPr>
              <w:t xml:space="preserve">）其他违反公务用车管理和使用规定的相关问题。 </w:t>
            </w:r>
          </w:p>
        </w:tc>
      </w:tr>
      <w:tr>
        <w:tblPrEx>
          <w:tblCellMar>
            <w:top w:w="48" w:type="dxa"/>
            <w:left w:w="0" w:type="dxa"/>
            <w:bottom w:w="0" w:type="dxa"/>
            <w:right w:w="0" w:type="dxa"/>
          </w:tblCellMar>
        </w:tblPrEx>
        <w:trPr>
          <w:trHeight w:val="554"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434" w:hanging="348"/>
              <w:rPr>
                <w:rFonts w:ascii="仿宋_GB2312" w:hAnsi="宋体" w:eastAsia="仿宋_GB2312"/>
                <w:sz w:val="24"/>
                <w:szCs w:val="24"/>
              </w:rPr>
            </w:pPr>
            <w:r>
              <w:rPr>
                <w:rFonts w:hint="eastAsia" w:ascii="仿宋_GB2312" w:hAnsi="宋体" w:eastAsia="仿宋_GB2312"/>
                <w:sz w:val="24"/>
                <w:szCs w:val="24"/>
              </w:rPr>
              <w:t xml:space="preserve">违规配备和使用楼堂馆所 </w:t>
            </w: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 xml:space="preserve">）办公用房面积超标准或装修超标。 </w:t>
            </w:r>
          </w:p>
        </w:tc>
      </w:tr>
      <w:tr>
        <w:tblPrEx>
          <w:tblCellMar>
            <w:top w:w="48" w:type="dxa"/>
            <w:left w:w="0" w:type="dxa"/>
            <w:bottom w:w="0" w:type="dxa"/>
            <w:right w:w="0" w:type="dxa"/>
          </w:tblCellMar>
        </w:tblPrEx>
        <w:trPr>
          <w:trHeight w:val="610"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）超标后明改暗不改，加桌子不加人，隔离空间后仍</w:t>
            </w:r>
            <w:r>
              <w:rPr>
                <w:rFonts w:hint="eastAsia" w:ascii="仿宋_GB2312" w:hAnsi="宋体" w:eastAsia="仿宋_GB2312"/>
                <w:sz w:val="24"/>
                <w:szCs w:val="24"/>
                <w:lang w:val="en-US" w:eastAsia="zh-CN"/>
              </w:rPr>
              <w:t>由</w:t>
            </w:r>
            <w:r>
              <w:rPr>
                <w:rFonts w:hint="eastAsia" w:ascii="仿宋_GB2312" w:hAnsi="宋体" w:eastAsia="仿宋_GB2312"/>
                <w:sz w:val="24"/>
                <w:szCs w:val="24"/>
              </w:rPr>
              <w:t>本人使用，或由暗门连接休息室、卫生间等。</w:t>
            </w:r>
          </w:p>
        </w:tc>
      </w:tr>
      <w:tr>
        <w:tblPrEx>
          <w:tblCellMar>
            <w:top w:w="48" w:type="dxa"/>
            <w:left w:w="0" w:type="dxa"/>
            <w:bottom w:w="0" w:type="dxa"/>
            <w:right w:w="0" w:type="dxa"/>
          </w:tblCellMar>
        </w:tblPrEx>
        <w:trPr>
          <w:trHeight w:val="327"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3</w:t>
            </w:r>
            <w:r>
              <w:rPr>
                <w:rFonts w:hint="eastAsia" w:ascii="仿宋_GB2312" w:hAnsi="宋体" w:eastAsia="仿宋_GB2312"/>
                <w:sz w:val="24"/>
                <w:szCs w:val="24"/>
              </w:rPr>
              <w:t xml:space="preserve">）其他楼堂馆所违规问题。 </w:t>
            </w:r>
          </w:p>
        </w:tc>
      </w:tr>
      <w:tr>
        <w:tblPrEx>
          <w:tblCellMar>
            <w:top w:w="48" w:type="dxa"/>
            <w:left w:w="0" w:type="dxa"/>
            <w:bottom w:w="0" w:type="dxa"/>
            <w:right w:w="0" w:type="dxa"/>
          </w:tblCellMar>
        </w:tblPrEx>
        <w:trPr>
          <w:trHeight w:val="895"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宋体" w:eastAsia="仿宋_GB2312"/>
                <w:sz w:val="24"/>
                <w:szCs w:val="24"/>
              </w:rPr>
            </w:pPr>
            <w:r>
              <w:rPr>
                <w:rFonts w:hint="eastAsia" w:ascii="仿宋_GB2312" w:hAnsi="宋体" w:eastAsia="仿宋_GB2312"/>
                <w:sz w:val="24"/>
                <w:szCs w:val="24"/>
              </w:rPr>
              <w:t xml:space="preserve">提供或接受超标准接待 </w:t>
            </w: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主要包括差旅中乘坐交通工具、住宿超标准，以及其他违反公务接待规定的问题，比如迎送方式、出行活动等方面标准和范围超出规定标准。 </w:t>
            </w:r>
          </w:p>
        </w:tc>
      </w:tr>
      <w:tr>
        <w:tblPrEx>
          <w:tblCellMar>
            <w:top w:w="48" w:type="dxa"/>
            <w:left w:w="0" w:type="dxa"/>
            <w:bottom w:w="0" w:type="dxa"/>
            <w:right w:w="0" w:type="dxa"/>
          </w:tblCellMar>
        </w:tblPrEx>
        <w:trPr>
          <w:trHeight w:val="898"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1800"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宋体" w:eastAsia="仿宋_GB2312"/>
                <w:sz w:val="24"/>
                <w:szCs w:val="24"/>
              </w:rPr>
            </w:pPr>
            <w:r>
              <w:rPr>
                <w:rFonts w:hint="eastAsia" w:ascii="仿宋_GB2312" w:hAnsi="宋体" w:eastAsia="仿宋_GB2312"/>
                <w:sz w:val="24"/>
                <w:szCs w:val="24"/>
              </w:rPr>
              <w:t xml:space="preserve">组织或参加用公款支付的高消费娱乐健身等活动 </w:t>
            </w: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主要是指组织、参加用公款支付的高消费娱乐健身活动。（含打高尔夫球） </w:t>
            </w:r>
          </w:p>
        </w:tc>
      </w:tr>
      <w:tr>
        <w:tblPrEx>
          <w:tblCellMar>
            <w:top w:w="48" w:type="dxa"/>
            <w:left w:w="0" w:type="dxa"/>
            <w:bottom w:w="0" w:type="dxa"/>
            <w:right w:w="0" w:type="dxa"/>
          </w:tblCellMar>
        </w:tblPrEx>
        <w:trPr>
          <w:trHeight w:val="1332"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1800"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仿宋_GB2312" w:hAnsi="宋体" w:eastAsia="仿宋_GB2312"/>
                <w:sz w:val="24"/>
                <w:szCs w:val="24"/>
              </w:rPr>
            </w:pPr>
            <w:r>
              <w:rPr>
                <w:rFonts w:hint="eastAsia" w:ascii="仿宋_GB2312" w:hAnsi="宋体" w:eastAsia="仿宋_GB2312"/>
                <w:sz w:val="24"/>
                <w:szCs w:val="24"/>
              </w:rPr>
              <w:t xml:space="preserve">接受或提供可能影响公正执行公务的健身娱乐等活动 </w:t>
            </w:r>
          </w:p>
        </w:tc>
        <w:tc>
          <w:tcPr>
            <w:tcW w:w="523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 </w:t>
            </w:r>
          </w:p>
        </w:tc>
      </w:tr>
      <w:tr>
        <w:tblPrEx>
          <w:tblCellMar>
            <w:top w:w="48" w:type="dxa"/>
            <w:left w:w="0" w:type="dxa"/>
            <w:bottom w:w="0" w:type="dxa"/>
            <w:right w:w="0" w:type="dxa"/>
          </w:tblCellMar>
        </w:tblPrEx>
        <w:trPr>
          <w:trHeight w:val="895" w:hRule="atLeast"/>
        </w:trPr>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仿宋_GB2312" w:hAnsi="宋体" w:eastAsia="仿宋_GB2312"/>
                <w:sz w:val="24"/>
                <w:szCs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_GB2312" w:hAnsi="宋体" w:eastAsia="仿宋_GB2312"/>
                <w:sz w:val="24"/>
                <w:szCs w:val="24"/>
              </w:rPr>
            </w:pPr>
            <w:r>
              <w:rPr>
                <w:rFonts w:hint="eastAsia" w:ascii="仿宋_GB2312" w:hAnsi="宋体" w:eastAsia="仿宋_GB2312"/>
                <w:sz w:val="24"/>
                <w:szCs w:val="24"/>
              </w:rPr>
              <w:t xml:space="preserve">违规出入私人会所 </w:t>
            </w: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ind w:left="17"/>
              <w:rPr>
                <w:rFonts w:ascii="仿宋_GB2312" w:hAnsi="宋体" w:eastAsia="仿宋_GB2312"/>
                <w:sz w:val="24"/>
                <w:szCs w:val="24"/>
              </w:rPr>
            </w:pPr>
            <w:r>
              <w:rPr>
                <w:rFonts w:hint="eastAsia" w:ascii="仿宋_GB2312" w:hAnsi="宋体" w:eastAsia="仿宋_GB2312"/>
                <w:sz w:val="24"/>
                <w:szCs w:val="24"/>
              </w:rPr>
              <w:t xml:space="preserve">主要是指在私人会所中参与高消费吃喝、娱乐活动或其他活动，不论是公款还是私款，只要是在私人会所的。 </w:t>
            </w:r>
          </w:p>
        </w:tc>
      </w:tr>
      <w:tr>
        <w:tblPrEx>
          <w:tblCellMar>
            <w:top w:w="48" w:type="dxa"/>
            <w:left w:w="0" w:type="dxa"/>
            <w:bottom w:w="0" w:type="dxa"/>
            <w:right w:w="0" w:type="dxa"/>
          </w:tblCellMar>
        </w:tblPrEx>
        <w:trPr>
          <w:trHeight w:val="6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仿宋_GB2312" w:hAnsi="宋体" w:eastAsia="仿宋_GB2312"/>
                <w:sz w:val="24"/>
                <w:szCs w:val="24"/>
              </w:rPr>
            </w:pPr>
          </w:p>
        </w:tc>
        <w:tc>
          <w:tcPr>
            <w:tcW w:w="1800"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仿宋_GB2312" w:hAnsi="宋体" w:eastAsia="仿宋_GB2312"/>
                <w:sz w:val="24"/>
                <w:szCs w:val="24"/>
              </w:rPr>
            </w:pPr>
            <w:r>
              <w:rPr>
                <w:rFonts w:hint="eastAsia" w:ascii="仿宋_GB2312" w:hAnsi="宋体" w:eastAsia="仿宋_GB2312"/>
                <w:sz w:val="24"/>
                <w:szCs w:val="24"/>
              </w:rPr>
              <w:t xml:space="preserve">领导干部住房违规 </w:t>
            </w:r>
          </w:p>
        </w:tc>
        <w:tc>
          <w:tcPr>
            <w:tcW w:w="5238" w:type="dxa"/>
            <w:tcBorders>
              <w:top w:val="single" w:color="000000" w:sz="4" w:space="0"/>
              <w:left w:val="single" w:color="000000" w:sz="4" w:space="0"/>
              <w:bottom w:val="single" w:color="000000" w:sz="4" w:space="0"/>
              <w:right w:val="single" w:color="000000" w:sz="4" w:space="0"/>
            </w:tcBorders>
          </w:tcPr>
          <w:p>
            <w:pPr>
              <w:spacing w:line="259" w:lineRule="auto"/>
              <w:jc w:val="left"/>
              <w:rPr>
                <w:rFonts w:hint="eastAsia" w:ascii="仿宋_GB2312" w:hAnsi="宋体" w:eastAsia="仿宋_GB2312"/>
                <w:sz w:val="24"/>
                <w:szCs w:val="24"/>
              </w:rPr>
            </w:pPr>
            <w:r>
              <w:rPr>
                <w:rFonts w:hint="eastAsia" w:ascii="仿宋_GB2312" w:hAnsi="宋体" w:eastAsia="仿宋_GB2312"/>
                <w:sz w:val="24"/>
                <w:szCs w:val="24"/>
              </w:rPr>
              <w:t xml:space="preserve">主要指领导干部住房面积超标或违规配备和使用住房。 </w:t>
            </w:r>
          </w:p>
        </w:tc>
      </w:tr>
    </w:tbl>
    <w:p>
      <w:pPr>
        <w:spacing w:line="259" w:lineRule="auto"/>
        <w:rPr>
          <w:rFonts w:ascii="仿宋_GB2312" w:hAnsi="宋体" w:eastAsia="仿宋_GB2312"/>
          <w:sz w:val="24"/>
          <w:szCs w:val="24"/>
        </w:rPr>
      </w:pPr>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947"/>
      </w:tabs>
      <w:spacing w:line="259" w:lineRule="auto"/>
    </w:pPr>
    <w:r>
      <w:rPr>
        <w:rFonts w:ascii="Calibri" w:hAnsi="Calibri" w:eastAsia="Calibri" w:cs="Calibri"/>
        <w:sz w:val="28"/>
        <w:vertAlign w:val="superscript"/>
      </w:rPr>
      <w:t xml:space="preserve"> </w:t>
    </w:r>
    <w:r>
      <w:rPr>
        <w:rFonts w:ascii="Calibri" w:hAnsi="Calibri" w:eastAsia="Calibri" w:cs="Calibri"/>
        <w:sz w:val="28"/>
        <w:vertAlign w:val="superscript"/>
      </w:rPr>
      <w:tab/>
    </w:r>
    <w:r>
      <w:rPr>
        <w:sz w:val="28"/>
      </w:rPr>
      <w:t xml:space="preserve">— </w:t>
    </w:r>
    <w:r>
      <w:fldChar w:fldCharType="begin"/>
    </w:r>
    <w:r>
      <w:instrText xml:space="preserve"> PAGE   \* MERGEFORMAT </w:instrText>
    </w:r>
    <w:r>
      <w:fldChar w:fldCharType="separate"/>
    </w:r>
    <w:r>
      <w:rPr>
        <w:sz w:val="28"/>
      </w:rPr>
      <w:t>1</w:t>
    </w:r>
    <w:r>
      <w:rPr>
        <w:sz w:val="28"/>
      </w:rPr>
      <w:fldChar w:fldCharType="end"/>
    </w:r>
    <w:r>
      <w:rPr>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pPr>
    <w:r>
      <w:rPr>
        <w:sz w:val="28"/>
      </w:rPr>
      <w:t xml:space="preserve">— </w:t>
    </w:r>
    <w:r>
      <w:rPr>
        <w:rFonts w:ascii="Calibri" w:hAnsi="Calibri" w:eastAsia="Calibri" w:cs="Calibri"/>
        <w:sz w:val="28"/>
        <w:vertAlign w:val="superscript"/>
      </w:rPr>
      <w:t xml:space="preserve"> </w:t>
    </w:r>
    <w:r>
      <w:fldChar w:fldCharType="begin"/>
    </w:r>
    <w:r>
      <w:instrText xml:space="preserve"> PAGE   \* MERGEFORMAT </w:instrText>
    </w:r>
    <w:r>
      <w:fldChar w:fldCharType="separate"/>
    </w:r>
    <w:r>
      <w:rPr>
        <w:sz w:val="28"/>
      </w:rPr>
      <w:t>2</w:t>
    </w:r>
    <w:r>
      <w:rPr>
        <w:sz w:val="28"/>
      </w:rPr>
      <w:fldChar w:fldCharType="end"/>
    </w:r>
    <w:r>
      <w:rPr>
        <w:sz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947"/>
      </w:tabs>
      <w:spacing w:line="259" w:lineRule="auto"/>
    </w:pPr>
    <w:r>
      <w:rPr>
        <w:rFonts w:ascii="Calibri" w:hAnsi="Calibri" w:eastAsia="Calibri" w:cs="Calibri"/>
        <w:sz w:val="28"/>
        <w:vertAlign w:val="superscript"/>
      </w:rPr>
      <w:t xml:space="preserve"> </w:t>
    </w:r>
    <w:r>
      <w:rPr>
        <w:rFonts w:ascii="Calibri" w:hAnsi="Calibri" w:eastAsia="Calibri" w:cs="Calibri"/>
        <w:sz w:val="28"/>
        <w:vertAlign w:val="superscript"/>
      </w:rPr>
      <w:tab/>
    </w:r>
    <w:r>
      <w:rPr>
        <w:sz w:val="28"/>
      </w:rPr>
      <w:t xml:space="preserve">— </w:t>
    </w:r>
    <w:r>
      <w:fldChar w:fldCharType="begin"/>
    </w:r>
    <w:r>
      <w:instrText xml:space="preserve"> PAGE   \* MERGEFORMAT </w:instrText>
    </w:r>
    <w:r>
      <w:fldChar w:fldCharType="separate"/>
    </w:r>
    <w:r>
      <w:rPr>
        <w:sz w:val="28"/>
      </w:rPr>
      <w:t>1</w:t>
    </w:r>
    <w:r>
      <w:rPr>
        <w:sz w:val="28"/>
      </w:rPr>
      <w:fldChar w:fldCharType="end"/>
    </w:r>
    <w:r>
      <w:rPr>
        <w:sz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92B67"/>
    <w:rsid w:val="03792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2020-06-09T07:47:00Z</dcterms:created>
  <dc:creator>ASUS</dc:creator>
  <cp:lastModifiedBy>ASUS</cp:lastModifiedBy>
  <dcterms:modified xsi:type="dcterms:W3CDTF">2020-06-09T07:48:08Z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