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华北水利水电大学创新创业学院</w:t>
            </w:r>
          </w:p>
        </w:tc>
        <w:tc>
          <w:tcPr>
            <w:tcW w:w="1579" w:type="dxa"/>
            <w:vMerge w:val="continue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华北水利水电</w:t>
            </w: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  <w:lang w:eastAsia="zh-CN"/>
              </w:rPr>
              <w:t>大学后勤服务中心</w:t>
            </w:r>
          </w:p>
        </w:tc>
        <w:tc>
          <w:tcPr>
            <w:tcW w:w="1579" w:type="dxa"/>
            <w:vMerge w:val="continue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华北水利水电大学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  <w:lang w:eastAsia="zh-CN"/>
              </w:rPr>
              <w:t>环境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与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  <w:lang w:eastAsia="zh-CN"/>
              </w:rPr>
              <w:t>市政工程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学院</w:t>
            </w:r>
          </w:p>
        </w:tc>
        <w:tc>
          <w:tcPr>
            <w:tcW w:w="1579" w:type="dxa"/>
            <w:vMerge w:val="continue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2</w:t>
      </w:r>
      <w:r>
        <w:rPr>
          <w:rFonts w:hint="default" w:ascii="仿宋_GB2312" w:hAnsi="仿宋_GB2312" w:eastAsia="仿宋_GB2312"/>
          <w:sz w:val="3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hint="eastAsia" w:eastAsia="方正小标宋简体"/>
          <w:color w:val="FF0000"/>
          <w:sz w:val="90"/>
          <w:szCs w:val="90"/>
        </w:rPr>
        <w:pict>
          <v:line id="1026" o:spid="_x0000_s1026" o:spt="20" style="position:absolute;left:0pt;margin-left:235.8pt;margin-top:38.3pt;height:0.05pt;width:225pt;z-index:1024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1027" o:spid="_x0000_s1027" o:spt="20" style="position:absolute;left:0pt;margin-left:-33.45pt;margin-top:36.8pt;height:0.05pt;width:217.8pt;z-index:1024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1028" o:spid="_x0000_s1028" o:spt="3" type="#_x0000_t3" style="position:absolute;left:0pt;margin-left:197.4pt;margin-top:23.3pt;height:28.2pt;width:27pt;z-index:102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1029" o:spid="_x0000_s1029" style="position:absolute;left:0pt;margin-left:199.9pt;margin-top:24.2pt;height:23.4pt;width:23.4pt;z-index:1024;mso-width-relative:page;mso-height-relative:page;" fillcolor="#FF0000" filled="t" stroked="t" coordsize="297180,297180" path="m0,113512l113513,113513,148590,0,183666,113513,297179,113512,205345,183666,240423,297179,148590,227023,56756,297179,91834,183666xe">
            <v:path textboxrect="0,0,297180,297180" o:connectlocs="148590,0;0,113512;56756,297179;240423,297179;297179,113512" o:connectangles="247,164,82,82,0"/>
            <v:fill on="t" focussize="0,0"/>
            <v:stroke color="#FF0000" joinstyle="miter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widowControl/>
        <w:spacing w:line="432" w:lineRule="atLeast"/>
        <w:jc w:val="distribute"/>
        <w:rPr>
          <w:rFonts w:ascii="仿宋_GB2312" w:hAnsi="宋体" w:eastAsia="仿宋_GB2312" w:cs="宋体"/>
          <w:b/>
          <w:color w:val="FF0000"/>
          <w:kern w:val="0"/>
          <w:sz w:val="48"/>
          <w:szCs w:val="48"/>
        </w:rPr>
      </w:pP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关于对华北水利水电大学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届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“绿源杯”大学生节能减排社会实践与科技竞赛活动</w:t>
      </w: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表彰的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决定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为增强广大学生节能减排和团队协作意识，集中展示我校学生的科技创新水平、工程实践能力和社会调查能力，进一步营造节能创新、绿色、开放的文化氛围，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日，由校团委、创新创业学院、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、环境与市政工程学院共同主办，环境与市政工程学院承办的以“节能减排、绿色能源”为主题的华北水利水电大学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“绿源杯”大学生节能减排社会实践与科技竞赛决赛，在龙子湖校区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环境与市政工程学院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511报告厅举办线下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，竞赛同时也是“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全国大学生节能减排社会实践与科技竞赛”校内选拔赛。本次竞赛共有来自全校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个学院的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份作品报名参赛，根据《关于组织开展华北水利水电大学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“绿源杯”大学生节能减排社会实践与科技竞赛活动的通知》经校竞赛组委会专家组认真评审和学生精彩答辩，共评出一等奖2项、二等奖5项、三等奖8项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优秀组织单位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个，现将竞赛获奖情况公布如下：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附件：1、获奖作品名单。   </w:t>
      </w:r>
    </w:p>
    <w:p>
      <w:pPr>
        <w:widowControl/>
        <w:spacing w:line="460" w:lineRule="atLeast"/>
        <w:ind w:firstLine="1507" w:firstLineChars="4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2、优秀组织单位名单。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校团委</w:t>
      </w:r>
    </w:p>
    <w:p>
      <w:pPr>
        <w:widowControl/>
        <w:snapToGrid w:val="0"/>
        <w:spacing w:line="46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创新创业学院</w:t>
      </w:r>
    </w:p>
    <w:p>
      <w:pPr>
        <w:widowControl/>
        <w:snapToGrid w:val="0"/>
        <w:spacing w:line="46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后勤服务中心</w:t>
      </w:r>
    </w:p>
    <w:p>
      <w:pPr>
        <w:widowControl/>
        <w:snapToGrid w:val="0"/>
        <w:spacing w:line="46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环境与市政工程学院</w:t>
      </w:r>
    </w:p>
    <w:p>
      <w:pPr>
        <w:ind w:firstLine="3520" w:firstLineChars="11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3520" w:firstLineChars="11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 送：各 学 院、各 班 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line id="1030" o:spid="_x0000_s1030" o:spt="20" style="position:absolute;left:0pt;margin-left:0pt;margin-top:32.9pt;height:0pt;width:441pt;z-index:1024;mso-width-relative:page;mso-height-relative:page;" filled="f" stroked="t" coordsize="21600,21600">
            <v:path arrowok="t"/>
            <v:fill on="f" focussize="0,0"/>
            <v:stroke weight="1.2pt"/>
            <v:imagedata o:title=""/>
            <o:lock v:ext="edit"/>
          </v:line>
        </w:pict>
      </w:r>
      <w:r>
        <w:rPr>
          <w:sz w:val="28"/>
          <w:szCs w:val="28"/>
        </w:rPr>
        <w:pict>
          <v:line id="1031" o:spid="_x0000_s1031" o:spt="20" style="position:absolute;left:0pt;margin-left:-0.95pt;margin-top:1.6pt;height:0pt;width:441pt;z-index:1024;mso-width-relative:page;mso-height-relative:page;" filled="f" stroked="t" coordsize="21600,21600">
            <v:path arrowok="t"/>
            <v:fill on="f" focussize="0,0"/>
            <v:stroke weight="1.2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共青团华北水利水电大学委员会办公室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日印发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附件1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大学生节能减排社会实践与科技竞赛获奖作品名单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97"/>
        <w:gridCol w:w="2272"/>
        <w:gridCol w:w="2517"/>
        <w:gridCol w:w="116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水利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“螺害克星”——一种生态友好型智能螺害治理装置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马洪东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邵淋超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殷玉领 王馨莹 尹丽君 刘宁 刘炜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张建伟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杨大鹏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土木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拜耳法赤泥低碳免烧砖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宋子明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范明达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韩明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李克亮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物电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手机重生之变废为宝-基于旧手机的教室电灯节能控制系统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刘炜 侯朝渝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熊士淳 喻越 程思涵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林文豪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杨大鹏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刘秉涛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云端消防--以基于改进PID控制的巡检救援节能机器人为核心的消防设备联动系统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求凯杰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 王淼 张洲铭 胡锦儿 何建玲 游梦园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康张阳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多功能生态浮岛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宋晨曦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郭腾蛟 马沛森 李汶龙 陈爽爽  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务文馨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齐爽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王文星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太阳能发电与水蓄能耦合系统——空调节能研究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周雅桐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卜嘉欣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闫珍珍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宋慧敏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杨伟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物电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智慧充电-基于stm32系统的高利用率电动车充电桩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刘宁 熊士淳 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侯雨辰 周美慧 邬涛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杨大鹏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郑锐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基于相变蓄热材料的光伏集热建筑一体化系统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秦兆龙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张舒媛 王超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杰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求凯杰 翟毅龙 王永光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吴威宇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康张阳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物电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基于单片机控制的温度感应变速节能风扇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柳家浩 索惠玲 王可行 吴震 高赛飞 李永帅 王梦龙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罗文宇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空气净化降尘防霾新型HEPA材料窗纱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李梦圆 魏金科 罗满满 季曙光 苗雪文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李海华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胡雷雷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基于物联网的节能智慧农业温室大棚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陈昊晟 时雪颖 左壮 王义豪 王鑫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常瑞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物电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基于夏热冬冷地区土壤源热泵系统的优化改良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刘文博 王可行 高赛飞 赵欣龙 朱镜源 王梦龙 侯辰旭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段美霞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水资源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空中绿荫——基于生态调控与非常规水源利用的智能化绿色屋顶建设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求凯杰 张龙龙 王淼 孙明博 张洲铭 孙铬遥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毕彦杰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集体宿舍水房节水系统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赵国奥 杨凯峰 李孟阳 何凯昂 李亚杰 王家树 魏子琰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贾纤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陆建红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新型电厂烟气水分回收及脱碳系统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张欣然 周欣倩 张紫璇 宋艺雯 陈悠洋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王为术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widowControl/>
        <w:spacing w:line="46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备注：以上项目推荐进入国赛，代表我校参加第十四届全国大学生节能减排社会实践与科技竞赛。</w:t>
      </w:r>
    </w:p>
    <w:p>
      <w:pPr>
        <w:widowControl/>
        <w:spacing w:line="46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spacing w:line="46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  环境与市政工程学院</w:t>
      </w:r>
    </w:p>
    <w:p>
      <w:pPr>
        <w:widowControl/>
        <w:spacing w:line="460" w:lineRule="atLeast"/>
        <w:jc w:val="center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2021年6月11日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附件2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大学生节能减排社会实践与科技竞赛优秀组织单位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水利学院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电力学院</w:t>
      </w:r>
    </w:p>
    <w:p>
      <w:pPr>
        <w:widowControl/>
        <w:spacing w:line="460" w:lineRule="atLeas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材料学院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管理与经济学院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物理与电子学院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环境与市政工程学院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460" w:lineRule="atLeast"/>
        <w:jc w:val="center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E19075C"/>
    <w:rsid w:val="543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1450</Words>
  <Characters>1494</Characters>
  <Paragraphs>180</Paragraphs>
  <TotalTime>29</TotalTime>
  <ScaleCrop>false</ScaleCrop>
  <LinksUpToDate>false</LinksUpToDate>
  <CharactersWithSpaces>1717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2017-06-02T03:08:00Z</dcterms:created>
  <dc:creator>Administrator</dc:creator>
  <cp:lastModifiedBy>admin</cp:lastModifiedBy>
  <cp:lastPrinted>2020-09-03T11:53:00Z</cp:lastPrinted>
  <dcterms:modified xsi:type="dcterms:W3CDTF">2021-06-11T12:03:12Z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0b0449a3c6b24a0697823618b7814ed8</vt:lpwstr>
  </property>
</Properties>
</file>