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/>
          <w:color w:val="2B2B2B"/>
        </w:rPr>
      </w:pPr>
      <w:r>
        <w:rPr>
          <w:rFonts w:ascii="微软雅黑" w:eastAsia="微软雅黑" w:hAnsi="微软雅黑" w:hint="eastAsia"/>
          <w:color w:val="2B2B2B"/>
        </w:rPr>
        <w:t>校属各</w:t>
      </w:r>
      <w:r>
        <w:rPr>
          <w:rFonts w:ascii="微软雅黑" w:eastAsia="微软雅黑" w:hAnsi="微软雅黑" w:hint="eastAsia"/>
          <w:color w:val="2B2B2B"/>
        </w:rPr>
        <w:t>单位：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为深入贯彻习近平新时代中国特色社会主义思想，认真落实省委省政府对科技创新工作的重大安排部署，大力实施“创新驱动、科教兴省、人才强省”战略，充分发挥科技创新的支撑引领作用，根据《河南省省级重大科技专项管理办法（试行）》《河南省省级重大科技专项资金管理办法》，现将2022年度河南省重大科技专项申报工作有关事项通知如下：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2B2B2B"/>
        </w:rPr>
        <w:t>一、申报条件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（一）项目应严格按照省重大科技专项指南发布的专题进行申报，围绕国家重大战略需求、河南转型发展需要，聚焦产业发展和服务民生公益，不在指南范围内的项目不予受理。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（二）项目申请单位应为在我省注册的具有独立法人资格的企业、高等学校、科研院所等，注册时间为2020年11月1日前，建有省级（含省级）以上研发平台，有较强的科技研发能力和条件，运行管理规范。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（三）项目申请单位为企业的须有实际研发活动，上年度研发投入占主营业务收入比例，大中型企业不低于1.5%，其他企业不低于3%，同时应有良好的信用记录，未被记入“信用中国（河南）”黑名单。近3年内承担的省重大科技专项存在验收不通过或逾期</w:t>
      </w:r>
      <w:proofErr w:type="gramStart"/>
      <w:r>
        <w:rPr>
          <w:rFonts w:ascii="微软雅黑" w:eastAsia="微软雅黑" w:hAnsi="微软雅黑" w:hint="eastAsia"/>
          <w:color w:val="2B2B2B"/>
        </w:rPr>
        <w:t>尚未结项验收</w:t>
      </w:r>
      <w:proofErr w:type="gramEnd"/>
      <w:r>
        <w:rPr>
          <w:rFonts w:ascii="微软雅黑" w:eastAsia="微软雅黑" w:hAnsi="微软雅黑" w:hint="eastAsia"/>
          <w:color w:val="2B2B2B"/>
        </w:rPr>
        <w:t>的企业，不得申报。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（四）项目负责人年龄不超过60周岁（1962年1月1日后出生），两院院士不受年龄限制，每年用于项目的工作时间不得少于6个月，已承担省财政支持的科技计划项目且截止到2021年10月31日逾期未能结题的，不得申报。团队成员诚信状况良好，无在惩戒执行期内的科研严重失信行为记录和相关社会领域信用“黑名单”记录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lastRenderedPageBreak/>
        <w:t xml:space="preserve">　　（六）项目实施周期原则上不超过3年，单个项目财政支持资金原则上不低于1000万元。其中，项目申请单位为企业的，投入项目研发的自筹资金不低于申请财政资金的3倍。省财政根据项目年度执行计划和经费实际需求分年度拨付支持经费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（七）鼓励各地、各部门统筹资源、联动支持；支持骨干企业、高等院校、科研院所等组建创新联合体联合申报；探索推行“赛马”“项目专员”等制度。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2B2B2B"/>
        </w:rPr>
        <w:t>二、组织方式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（一）隶属于省直部门（单位）的通过省直部门（单位）申报；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（二）郑州航空港经济综合实验区、国家高新区、国家郑州经济技术开发区内的项目通过管委会申报；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（三）其他单位均通过所在省辖市或省直管县（市）、“三起来”示范县（市）科技主管部门申报；财政部门(省直财务部门)按照预算管理级次进行审核报送。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各推荐单位对所推荐项目的真实性等负责。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2B2B2B"/>
        </w:rPr>
        <w:t>三、申报程序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项目申报采取网上申报的方式进行，由项目申报人、项目申报单位和推荐（主管）单位登录系统进行申报和推荐。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（一）用户注册。个人（申报人）和法人（单位管理员）用户须在河南政务服务网（http://www.hnzwfw.gov.cn）注册并实名认证后，才能登录系统，已完成注册和认证的用户仍使用原账号。各主管部门（单位）管理员用户仍使用系统统一分配的账号登录系统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lastRenderedPageBreak/>
        <w:t xml:space="preserve">　　（二）单位信息填报。申报单位基本信息统一由法人（单位管理员）在提交本单位项目之前填写或更新完善，法人（单位管理员）提交后，单位所有申报人均能及时共享显示，不需单独、重复填报。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（三）项目信息填报。项目申报人按照指南要求，使用个人账号登录“河南省科技计划项目管理系统（http://xm.hnkjt.gov.cn/）”填写项目申报书，申请省财政经费资助项目须填报预算申报书，完成后提交至申报单位。法人（单位管理员）使用法人账号登录系统审核项目，提交至科技主管部门（单位）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（四）审核推荐。科技主管部门（单位）严格按照申报指南要求审核项目，将审核通过并申请财政经费的项目预算申报书转送财政主管部门（单位），财政主管部门（单位）对项目预算申报书审核通过后，由科技主管部门（单位）统一将项目推荐提交至省科技厅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各级科技主管部门（单位）与财政主管部门（单位）要及时沟通、密切配合，为科研人员项目申报提供服务保障。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（五）材料报送。申报单位打印由系统生成的项目申报书、预算申报书PDF文档装订成册（一式五份），在书脊上注明项目名称、申报单位名称，经主管部门（单位）审核盖章后报送。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2B2B2B"/>
        </w:rPr>
        <w:t>四、受理时间及地点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系统填报时间：2021年11月5日8:00—</w:t>
      </w:r>
      <w:r w:rsidR="009D6FA9">
        <w:rPr>
          <w:rFonts w:ascii="微软雅黑" w:eastAsia="微软雅黑" w:hAnsi="微软雅黑" w:hint="eastAsia"/>
          <w:color w:val="2B2B2B"/>
        </w:rPr>
        <w:t>11</w:t>
      </w:r>
      <w:r>
        <w:rPr>
          <w:rFonts w:ascii="微软雅黑" w:eastAsia="微软雅黑" w:hAnsi="微软雅黑" w:hint="eastAsia"/>
          <w:color w:val="2B2B2B"/>
        </w:rPr>
        <w:t>月</w:t>
      </w:r>
      <w:r w:rsidR="009D6FA9">
        <w:rPr>
          <w:rFonts w:ascii="微软雅黑" w:eastAsia="微软雅黑" w:hAnsi="微软雅黑" w:hint="eastAsia"/>
          <w:color w:val="2B2B2B"/>
        </w:rPr>
        <w:t>30</w:t>
      </w:r>
      <w:bookmarkStart w:id="0" w:name="_GoBack"/>
      <w:bookmarkEnd w:id="0"/>
      <w:r>
        <w:rPr>
          <w:rFonts w:ascii="微软雅黑" w:eastAsia="微软雅黑" w:hAnsi="微软雅黑" w:hint="eastAsia"/>
          <w:color w:val="2B2B2B"/>
        </w:rPr>
        <w:t>日 18:00。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材料报送时间：2021年12月</w:t>
      </w:r>
      <w:r w:rsidR="00D368AD">
        <w:rPr>
          <w:rFonts w:ascii="微软雅黑" w:eastAsia="微软雅黑" w:hAnsi="微软雅黑" w:hint="eastAsia"/>
          <w:color w:val="2B2B2B"/>
        </w:rPr>
        <w:t>1</w:t>
      </w:r>
      <w:r>
        <w:rPr>
          <w:rFonts w:ascii="微软雅黑" w:eastAsia="微软雅黑" w:hAnsi="微软雅黑" w:hint="eastAsia"/>
          <w:color w:val="2B2B2B"/>
        </w:rPr>
        <w:t>日</w:t>
      </w:r>
      <w:r w:rsidR="00D368AD">
        <w:rPr>
          <w:rFonts w:ascii="微软雅黑" w:eastAsia="微软雅黑" w:hAnsi="微软雅黑" w:hint="eastAsia"/>
          <w:color w:val="2B2B2B"/>
        </w:rPr>
        <w:t>上午12：00</w:t>
      </w:r>
      <w:r>
        <w:rPr>
          <w:rFonts w:ascii="微软雅黑" w:eastAsia="微软雅黑" w:hAnsi="微软雅黑" w:hint="eastAsia"/>
          <w:color w:val="2B2B2B"/>
        </w:rPr>
        <w:t>（逾期不予受理）。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材料报送地点：</w:t>
      </w:r>
      <w:r w:rsidR="00D368AD">
        <w:rPr>
          <w:rFonts w:ascii="微软雅黑" w:eastAsia="微软雅黑" w:hAnsi="微软雅黑" w:hint="eastAsia"/>
          <w:color w:val="2B2B2B"/>
        </w:rPr>
        <w:t>科技处419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</w:t>
      </w:r>
      <w:r>
        <w:rPr>
          <w:rStyle w:val="a4"/>
          <w:rFonts w:ascii="微软雅黑" w:eastAsia="微软雅黑" w:hAnsi="微软雅黑" w:hint="eastAsia"/>
          <w:color w:val="2B2B2B"/>
        </w:rPr>
        <w:t>五、咨询电话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lastRenderedPageBreak/>
        <w:t xml:space="preserve">　　</w:t>
      </w:r>
      <w:r w:rsidR="00D368AD">
        <w:rPr>
          <w:rFonts w:ascii="微软雅黑" w:eastAsia="微软雅黑" w:hAnsi="微软雅黑" w:hint="eastAsia"/>
          <w:color w:val="2B2B2B"/>
        </w:rPr>
        <w:t>闫新庆，</w:t>
      </w:r>
      <w:proofErr w:type="gramStart"/>
      <w:r w:rsidR="00D368AD">
        <w:rPr>
          <w:rFonts w:ascii="微软雅黑" w:eastAsia="微软雅黑" w:hAnsi="微软雅黑" w:hint="eastAsia"/>
          <w:color w:val="2B2B2B"/>
        </w:rPr>
        <w:t>杨啸</w:t>
      </w:r>
      <w:proofErr w:type="gramEnd"/>
      <w:r w:rsidR="00D368AD">
        <w:rPr>
          <w:rFonts w:ascii="微软雅黑" w:eastAsia="微软雅黑" w:hAnsi="微软雅黑" w:hint="eastAsia"/>
          <w:color w:val="2B2B2B"/>
        </w:rPr>
        <w:t xml:space="preserve"> </w:t>
      </w:r>
      <w:r w:rsidR="00D368AD">
        <w:rPr>
          <w:rFonts w:ascii="微软雅黑" w:eastAsia="微软雅黑" w:hAnsi="微软雅黑"/>
          <w:color w:val="2B2B2B"/>
        </w:rPr>
        <w:t xml:space="preserve">   0371-69127209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　　附件：</w:t>
      </w:r>
      <w:r w:rsidR="00D368AD">
        <w:rPr>
          <w:rFonts w:ascii="微软雅黑" w:eastAsia="微软雅黑" w:hAnsi="微软雅黑" w:hint="eastAsia"/>
          <w:color w:val="2B2B2B"/>
        </w:rPr>
        <w:t xml:space="preserve"> </w:t>
      </w:r>
    </w:p>
    <w:p w:rsidR="00D368AD" w:rsidRDefault="00D368AD" w:rsidP="00D368AD">
      <w:pPr>
        <w:pStyle w:val="a3"/>
        <w:wordWrap w:val="0"/>
        <w:spacing w:before="0" w:beforeAutospacing="0" w:after="0" w:afterAutospacing="0" w:line="450" w:lineRule="atLeast"/>
        <w:jc w:val="right"/>
        <w:rPr>
          <w:rFonts w:ascii="微软雅黑" w:eastAsia="微软雅黑" w:hAnsi="微软雅黑"/>
          <w:color w:val="2B2B2B"/>
        </w:rPr>
      </w:pPr>
      <w:r>
        <w:rPr>
          <w:rFonts w:ascii="微软雅黑" w:eastAsia="微软雅黑" w:hAnsi="微软雅黑" w:hint="eastAsia"/>
          <w:color w:val="2B2B2B"/>
        </w:rPr>
        <w:t xml:space="preserve">科技处 </w:t>
      </w:r>
      <w:r>
        <w:rPr>
          <w:rFonts w:ascii="微软雅黑" w:eastAsia="微软雅黑" w:hAnsi="微软雅黑"/>
          <w:color w:val="2B2B2B"/>
        </w:rPr>
        <w:t xml:space="preserve">     </w:t>
      </w:r>
    </w:p>
    <w:p w:rsidR="00B9779A" w:rsidRDefault="00B9779A" w:rsidP="00B9779A">
      <w:pPr>
        <w:pStyle w:val="a3"/>
        <w:spacing w:before="0" w:beforeAutospacing="0" w:after="0" w:afterAutospacing="0" w:line="450" w:lineRule="atLeast"/>
        <w:jc w:val="right"/>
        <w:rPr>
          <w:rFonts w:ascii="微软雅黑" w:eastAsia="微软雅黑" w:hAnsi="微软雅黑" w:hint="eastAsia"/>
          <w:color w:val="2B2B2B"/>
        </w:rPr>
      </w:pPr>
      <w:r>
        <w:rPr>
          <w:rFonts w:ascii="微软雅黑" w:eastAsia="微软雅黑" w:hAnsi="微软雅黑" w:hint="eastAsia"/>
          <w:color w:val="2B2B2B"/>
        </w:rPr>
        <w:t>2021年11月</w:t>
      </w:r>
      <w:r w:rsidR="00D368AD">
        <w:rPr>
          <w:rFonts w:ascii="微软雅黑" w:eastAsia="微软雅黑" w:hAnsi="微软雅黑" w:hint="eastAsia"/>
          <w:color w:val="2B2B2B"/>
        </w:rPr>
        <w:t>1</w:t>
      </w:r>
      <w:r>
        <w:rPr>
          <w:rFonts w:ascii="微软雅黑" w:eastAsia="微软雅黑" w:hAnsi="微软雅黑" w:hint="eastAsia"/>
          <w:color w:val="2B2B2B"/>
        </w:rPr>
        <w:t>2日</w:t>
      </w:r>
    </w:p>
    <w:p w:rsidR="00755BFA" w:rsidRDefault="00755BFA"/>
    <w:sectPr w:rsidR="0075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A"/>
    <w:rsid w:val="00755BFA"/>
    <w:rsid w:val="009D6FA9"/>
    <w:rsid w:val="00B9779A"/>
    <w:rsid w:val="00D3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CBFD7-243C-4F33-B2B5-3AAC0B6A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7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uiPriority w:val="22"/>
    <w:qFormat/>
    <w:rsid w:val="00B9779A"/>
    <w:rPr>
      <w:b/>
      <w:bCs/>
    </w:rPr>
  </w:style>
  <w:style w:type="character" w:styleId="a5">
    <w:name w:val="Hyperlink"/>
    <w:basedOn w:val="a0"/>
    <w:uiPriority w:val="99"/>
    <w:semiHidden/>
    <w:unhideWhenUsed/>
    <w:rsid w:val="00B97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2021-11-12T01:43:00Z</dcterms:created>
  <dcterms:modified xsi:type="dcterms:W3CDTF">2021-11-12T02:03:00Z</dcterms:modified>
</cp:coreProperties>
</file>