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40" w:type="dxa"/>
        <w:jc w:val="center"/>
        <w:tblInd w:w="0" w:type="dxa"/>
        <w:tblLayout w:type="fixed"/>
        <w:tblCellMar>
          <w:top w:w="0" w:type="dxa"/>
          <w:left w:w="108" w:type="dxa"/>
          <w:bottom w:w="0" w:type="dxa"/>
          <w:right w:w="108" w:type="dxa"/>
        </w:tblCellMar>
      </w:tblPr>
      <w:tblGrid>
        <w:gridCol w:w="8228"/>
        <w:gridCol w:w="1112"/>
      </w:tblGrid>
      <w:tr>
        <w:tblPrEx>
          <w:tblLayout w:type="fixed"/>
          <w:tblCellMar>
            <w:top w:w="0" w:type="dxa"/>
            <w:left w:w="108" w:type="dxa"/>
            <w:bottom w:w="0" w:type="dxa"/>
            <w:right w:w="108" w:type="dxa"/>
          </w:tblCellMar>
        </w:tblPrEx>
        <w:trPr>
          <w:trHeight w:val="1324" w:hRule="atLeast"/>
          <w:jc w:val="center"/>
        </w:trPr>
        <w:tc>
          <w:tcPr>
            <w:tcW w:w="822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共青团华北水利水电大学委员会</w:t>
            </w:r>
          </w:p>
        </w:tc>
        <w:tc>
          <w:tcPr>
            <w:tcW w:w="1112" w:type="dxa"/>
            <w:vMerge w:val="restart"/>
            <w:vAlign w:val="center"/>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文件</w:t>
            </w:r>
          </w:p>
        </w:tc>
      </w:tr>
      <w:tr>
        <w:tblPrEx>
          <w:tblLayout w:type="fixed"/>
          <w:tblCellMar>
            <w:top w:w="0" w:type="dxa"/>
            <w:left w:w="108" w:type="dxa"/>
            <w:bottom w:w="0" w:type="dxa"/>
            <w:right w:w="108" w:type="dxa"/>
          </w:tblCellMar>
        </w:tblPrEx>
        <w:trPr>
          <w:trHeight w:val="1324" w:hRule="atLeast"/>
          <w:jc w:val="center"/>
        </w:trPr>
        <w:tc>
          <w:tcPr>
            <w:tcW w:w="822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华北水利水电大学土木与交通学院</w:t>
            </w:r>
          </w:p>
        </w:tc>
        <w:tc>
          <w:tcPr>
            <w:tcW w:w="1112" w:type="dxa"/>
            <w:vMerge w:val="continue"/>
            <w:tcBorders/>
            <w:vAlign w:val="center"/>
          </w:tcPr>
          <w:p>
            <w:pPr>
              <w:jc w:val="distribute"/>
              <w:rPr>
                <w:rFonts w:ascii="华文中宋" w:hAnsi="华文中宋" w:eastAsia="华文中宋"/>
                <w:b/>
                <w:color w:val="FF0000"/>
                <w:spacing w:val="-20"/>
                <w:w w:val="70"/>
                <w:sz w:val="76"/>
                <w:szCs w:val="76"/>
              </w:rPr>
            </w:pPr>
          </w:p>
        </w:tc>
      </w:tr>
      <w:tr>
        <w:tblPrEx>
          <w:tblLayout w:type="fixed"/>
          <w:tblCellMar>
            <w:top w:w="0" w:type="dxa"/>
            <w:left w:w="108" w:type="dxa"/>
            <w:bottom w:w="0" w:type="dxa"/>
            <w:right w:w="108" w:type="dxa"/>
          </w:tblCellMar>
        </w:tblPrEx>
        <w:trPr>
          <w:trHeight w:val="1324" w:hRule="atLeast"/>
          <w:jc w:val="center"/>
        </w:trPr>
        <w:tc>
          <w:tcPr>
            <w:tcW w:w="8228" w:type="dxa"/>
          </w:tcPr>
          <w:p>
            <w:pPr>
              <w:jc w:val="distribute"/>
              <w:rPr>
                <w:rFonts w:hint="eastAsia" w:ascii="华文中宋" w:hAnsi="华文中宋" w:eastAsia="华文中宋"/>
                <w:b/>
                <w:color w:val="FF0000"/>
                <w:spacing w:val="-20"/>
                <w:w w:val="70"/>
                <w:sz w:val="76"/>
                <w:szCs w:val="76"/>
                <w:lang w:eastAsia="zh-CN"/>
              </w:rPr>
            </w:pPr>
            <w:r>
              <w:rPr>
                <w:rFonts w:hint="eastAsia" w:ascii="华文中宋" w:hAnsi="华文中宋" w:eastAsia="华文中宋"/>
                <w:b/>
                <w:color w:val="FF0000"/>
                <w:spacing w:val="-20"/>
                <w:w w:val="70"/>
                <w:sz w:val="72"/>
                <w:szCs w:val="72"/>
                <w:lang w:eastAsia="zh-CN"/>
              </w:rPr>
              <w:t>华北水利水电大学法学与公共管理学院</w:t>
            </w:r>
          </w:p>
        </w:tc>
        <w:tc>
          <w:tcPr>
            <w:tcW w:w="1112" w:type="dxa"/>
            <w:vMerge w:val="continue"/>
            <w:tcBorders/>
            <w:vAlign w:val="center"/>
          </w:tcPr>
          <w:p>
            <w:pPr>
              <w:jc w:val="distribute"/>
              <w:rPr>
                <w:rFonts w:ascii="华文中宋" w:hAnsi="华文中宋" w:eastAsia="华文中宋"/>
                <w:b/>
                <w:color w:val="FF0000"/>
                <w:spacing w:val="-20"/>
                <w:w w:val="70"/>
                <w:sz w:val="76"/>
                <w:szCs w:val="76"/>
              </w:rPr>
            </w:pPr>
          </w:p>
        </w:tc>
      </w:tr>
      <w:tr>
        <w:tblPrEx>
          <w:tblLayout w:type="fixed"/>
          <w:tblCellMar>
            <w:top w:w="0" w:type="dxa"/>
            <w:left w:w="108" w:type="dxa"/>
            <w:bottom w:w="0" w:type="dxa"/>
            <w:right w:w="108" w:type="dxa"/>
          </w:tblCellMar>
        </w:tblPrEx>
        <w:trPr>
          <w:trHeight w:val="1324" w:hRule="atLeast"/>
          <w:jc w:val="center"/>
        </w:trPr>
        <w:tc>
          <w:tcPr>
            <w:tcW w:w="8228" w:type="dxa"/>
          </w:tcPr>
          <w:p>
            <w:pPr>
              <w:jc w:val="distribute"/>
              <w:rPr>
                <w:rFonts w:hint="eastAsia" w:ascii="华文中宋" w:hAnsi="华文中宋" w:eastAsia="华文中宋"/>
                <w:b/>
                <w:color w:val="FF0000"/>
                <w:spacing w:val="-20"/>
                <w:w w:val="70"/>
                <w:sz w:val="76"/>
                <w:szCs w:val="76"/>
                <w:lang w:eastAsia="zh-CN"/>
              </w:rPr>
            </w:pPr>
            <w:r>
              <w:rPr>
                <w:rFonts w:hint="eastAsia" w:ascii="华文中宋" w:hAnsi="华文中宋" w:eastAsia="华文中宋"/>
                <w:b/>
                <w:color w:val="FF0000"/>
                <w:spacing w:val="-20"/>
                <w:w w:val="70"/>
                <w:sz w:val="76"/>
                <w:szCs w:val="76"/>
                <w:lang w:eastAsia="zh-CN"/>
              </w:rPr>
              <w:t>华北水利水电大学国际教育学院</w:t>
            </w:r>
          </w:p>
        </w:tc>
        <w:tc>
          <w:tcPr>
            <w:tcW w:w="1112" w:type="dxa"/>
            <w:vMerge w:val="continue"/>
            <w:tcBorders/>
            <w:vAlign w:val="center"/>
          </w:tcPr>
          <w:p>
            <w:pPr>
              <w:jc w:val="distribute"/>
              <w:rPr>
                <w:rFonts w:ascii="华文中宋" w:hAnsi="华文中宋" w:eastAsia="华文中宋"/>
                <w:b/>
                <w:color w:val="FF0000"/>
                <w:spacing w:val="-20"/>
                <w:w w:val="70"/>
                <w:sz w:val="76"/>
                <w:szCs w:val="76"/>
              </w:rPr>
            </w:pPr>
          </w:p>
        </w:tc>
      </w:tr>
    </w:tbl>
    <w:p>
      <w:pPr>
        <w:rPr>
          <w:rFonts w:ascii="华文中宋" w:hAnsi="华文中宋" w:eastAsia="华文中宋"/>
          <w:b/>
          <w:color w:val="FF0000"/>
          <w:spacing w:val="6"/>
          <w:w w:val="80"/>
          <w:sz w:val="10"/>
          <w:szCs w:val="10"/>
        </w:rPr>
      </w:pPr>
    </w:p>
    <w:p>
      <w:pPr>
        <w:spacing w:line="440" w:lineRule="exact"/>
        <w:jc w:val="center"/>
        <w:rPr>
          <w:rFonts w:eastAsia="方正小标宋简体"/>
          <w:color w:val="FF0000"/>
          <w:sz w:val="90"/>
          <w:szCs w:val="90"/>
        </w:rPr>
      </w:pPr>
      <w:r>
        <w:rPr>
          <w:rFonts w:eastAsia="方正小标宋简体"/>
          <w:color w:val="FF0000"/>
          <w:sz w:val="90"/>
          <w:szCs w:val="90"/>
        </w:rPr>
        <w:pict>
          <v:shape id="1026" o:spid="_x0000_s1031" o:spt="12" type="#_x0000_t12" style="position:absolute;left:0pt;margin-left:198.7pt;margin-top:24.15pt;height:23.4pt;width:23.4pt;z-index:1024;mso-width-relative:page;mso-height-relative:page;" fillcolor="#FF0000" filled="t" stroked="t" coordsize="21600,21600" adj="4125">
            <v:path/>
            <v:fill on="t" focussize="0,0"/>
            <v:stroke color="#FF0000" joinstyle="miter"/>
            <v:imagedata o:title=""/>
            <o:lock v:ext="edit"/>
          </v:shape>
        </w:pict>
      </w:r>
      <w:r>
        <w:rPr>
          <w:rFonts w:eastAsia="方正小标宋简体"/>
          <w:color w:val="FF0000"/>
          <w:sz w:val="90"/>
          <w:szCs w:val="90"/>
        </w:rPr>
        <w:pict>
          <v:shape id="1027" o:spid="_x0000_s1030" o:spt="3" type="#_x0000_t3" style="position:absolute;left:0pt;margin-left:196.8pt;margin-top:23.25pt;height:28.2pt;width:27pt;z-index:1024;mso-width-relative:page;mso-height-relative:page;" filled="f" stroked="t" coordsize="21600,21600">
            <v:path/>
            <v:fill on="f" focussize="0,0"/>
            <v:stroke weight="1.5pt" color="#FF0000"/>
            <v:imagedata o:title=""/>
            <o:lock v:ext="edit"/>
          </v:shape>
        </w:pict>
      </w:r>
      <w:r>
        <w:rPr>
          <w:rFonts w:hint="eastAsia" w:ascii="仿宋_GB2312" w:hAnsi="仿宋_GB2312" w:eastAsia="仿宋_GB2312"/>
          <w:sz w:val="30"/>
          <w:szCs w:val="32"/>
        </w:rPr>
        <w:t>华水团联[2017]</w:t>
      </w:r>
      <w:r>
        <w:rPr>
          <w:rFonts w:hint="eastAsia" w:ascii="仿宋_GB2312" w:hAnsi="仿宋_GB2312" w:eastAsia="仿宋_GB2312"/>
          <w:sz w:val="30"/>
          <w:szCs w:val="32"/>
          <w:lang w:val="en-US" w:eastAsia="zh-CN"/>
        </w:rPr>
        <w:t>39</w:t>
      </w:r>
      <w:r>
        <w:rPr>
          <w:rFonts w:hint="eastAsia" w:ascii="仿宋_GB2312" w:hAnsi="仿宋_GB2312" w:eastAsia="仿宋_GB2312"/>
          <w:sz w:val="30"/>
          <w:szCs w:val="32"/>
        </w:rPr>
        <w:t>号</w:t>
      </w:r>
    </w:p>
    <w:p>
      <w:pPr>
        <w:pStyle w:val="2"/>
        <w:shd w:val="clear" w:color="auto" w:fill="FFFFFF"/>
        <w:spacing w:before="90" w:beforeAutospacing="0" w:afterAutospacing="0"/>
        <w:jc w:val="center"/>
        <w:rPr>
          <w:rFonts w:hint="default" w:ascii="Tahoma" w:hAnsi="Tahoma" w:eastAsia="Tahoma" w:cs="Tahoma"/>
          <w:color w:val="444444"/>
          <w:sz w:val="33"/>
          <w:szCs w:val="33"/>
          <w:shd w:val="clear" w:color="auto" w:fill="FFFFFF"/>
        </w:rPr>
      </w:pPr>
      <w:r>
        <w:rPr>
          <w:rFonts w:hint="default" w:eastAsia="方正小标宋简体"/>
          <w:color w:val="FF0000"/>
          <w:sz w:val="90"/>
          <w:szCs w:val="90"/>
        </w:rPr>
        <w:pict>
          <v:line id="1028" o:spid="_x0000_s1029" o:spt="20" style="position:absolute;left:0pt;margin-left:-35.25pt;margin-top:4.8pt;height:0.05pt;width:217.8pt;z-index:1024;mso-width-relative:page;mso-height-relative:page;" stroked="t" coordsize="21600,21600">
            <v:path arrowok="t"/>
            <v:fill focussize="0,0"/>
            <v:stroke weight="3pt" color="#FF0000"/>
            <v:imagedata o:title=""/>
            <o:lock v:ext="edit"/>
          </v:line>
        </w:pict>
      </w:r>
      <w:r>
        <w:rPr>
          <w:rFonts w:hint="default" w:eastAsia="方正小标宋简体"/>
          <w:color w:val="FF0000"/>
          <w:sz w:val="90"/>
          <w:szCs w:val="90"/>
        </w:rPr>
        <w:pict>
          <v:line id="1029" o:spid="_x0000_s1028" o:spt="20" style="position:absolute;left:0pt;margin-left:234pt;margin-top:5.1pt;height:0.05pt;width:225pt;z-index:1024;mso-width-relative:page;mso-height-relative:page;" stroked="t" coordsize="21600,21600">
            <v:path arrowok="t"/>
            <v:fill focussize="0,0"/>
            <v:stroke weight="3pt" color="#FF0000"/>
            <v:imagedata o:title=""/>
            <o:lock v:ext="edit"/>
          </v:line>
        </w:pict>
      </w:r>
    </w:p>
    <w:p>
      <w:pPr>
        <w:shd w:val="clear" w:color="auto" w:fill="FFFFFF"/>
        <w:spacing w:line="540" w:lineRule="exact"/>
        <w:jc w:val="center"/>
        <w:rPr>
          <w:rFonts w:ascii="黑体" w:hAnsi="黑体" w:eastAsia="黑体" w:cs="黑体"/>
          <w:b/>
          <w:sz w:val="44"/>
          <w:szCs w:val="44"/>
          <w:shd w:val="clear" w:color="auto" w:fill="FFFFFF"/>
        </w:rPr>
      </w:pPr>
      <w:r>
        <w:rPr>
          <w:rFonts w:hint="eastAsia" w:ascii="黑体" w:hAnsi="黑体" w:eastAsia="黑体" w:cs="黑体"/>
          <w:b/>
          <w:sz w:val="44"/>
          <w:szCs w:val="44"/>
          <w:shd w:val="clear" w:color="auto" w:fill="FFFFFF"/>
        </w:rPr>
        <w:t>关于举办“感悟初心力量</w:t>
      </w:r>
      <w:r>
        <w:rPr>
          <w:rFonts w:ascii="黑体" w:hAnsi="黑体" w:eastAsia="黑体" w:cs="黑体"/>
          <w:b/>
          <w:sz w:val="44"/>
          <w:szCs w:val="44"/>
          <w:shd w:val="clear" w:color="auto" w:fill="FFFFFF"/>
        </w:rPr>
        <w:t xml:space="preserve"> </w:t>
      </w:r>
      <w:r>
        <w:rPr>
          <w:rFonts w:hint="eastAsia" w:ascii="黑体" w:hAnsi="黑体" w:eastAsia="黑体" w:cs="黑体"/>
          <w:b/>
          <w:sz w:val="44"/>
          <w:szCs w:val="44"/>
          <w:shd w:val="clear" w:color="auto" w:fill="FFFFFF"/>
        </w:rPr>
        <w:t>青春点亮未来”主题团日手绘海报设计大赛的通知</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各学院团委：</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党的十九大高举旗帜、立论定向，把握大势、总揽全局，作出了中国特色社会主义进入新时代的重大政治论断，确立了习近平新时代中国特色社会主义思想作为党必须长期坚持的指导思想，提出了具有全局性、战略性、前瞻性的行动纲领，在党和国家的发展进程中具有极其重大的历史意义。</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十九大胜利召开之后,我校各级团组织掀起了学习、践行十九大精神的高潮。根据校团委统一部署，全校各团支部要集中开展“感悟初心力量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青春点亮未来”主题团日活动。为使主题团日活动内容更加丰富，形式更加多样，校团委决定联合土木与交通学院团委、法学与公共管理学院团委以及国际教育学院团委共同举办“感悟初心力量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青春点亮未来”主题团日手绘海报设计大赛。本次大赛旨在以创意设计海报的方式促进我校广大青年团员参与到主题团日活动中，从而更好得学习、贯彻党的十九大会议精神，同时培养广大学生的创新设计理念、激发参与设计的热情和兴趣。</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firstLine="643"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一、活动主题</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感悟初心力量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青春点亮未来</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firstLine="643"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二、组织单位</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主办：</w:t>
      </w:r>
      <w:r>
        <w:rPr>
          <w:rFonts w:hint="eastAsia" w:ascii="仿宋_GB2312" w:hAnsi="仿宋_GB2312" w:eastAsia="仿宋_GB2312" w:cs="仿宋_GB2312"/>
          <w:sz w:val="32"/>
          <w:szCs w:val="32"/>
          <w:lang w:eastAsia="zh-CN"/>
        </w:rPr>
        <w:t>共青团华北水利水电大学委员会</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承办：土木与交通学院团委</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1600" w:firstLineChars="5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法学与公共管理学院团委</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1600" w:firstLineChars="5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国际教育学院团委   </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3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三、竞赛日程与安排</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730" w:firstLineChars="228"/>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报名及作品申报:即日起至2017年12月21日止，逾期视为自动放弃。各参赛队需将参赛海报扫描件（以作品名称+学院+主创人姓名+学号+联系电话命名）发送至邮箱827695611@qq.com，并将参赛海报实物送至龙子湖校区S4-101室。每个参赛队限定主创人员一名，协创人员2名，每个学院限报2件作品。</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作品初审:2017年12月22日—12月24日，组委会将组织相关专家老师对参赛作品进行初评，提出评审意见，并确定、公布进入决赛作品名单。</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57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作品终审：2017年12月25日—12月28日，具体时间地点另行通知。届时，组委会将对作品进行终审答辩，参赛队需通过PPT展示进行作品汇报，汇报时间不得超过5分钟。通过评审，评选出本次比赛的获奖作品。</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57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四、作品要求</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1.立意高远、主题鲜明。内容必须包含学校、学院名称和“感悟初心力量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青春点亮未来主题团日”字样。</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2.作品需为原创，未参加过其他比赛，作品实物背面须注明作品名称、学院、主创人姓名、学号、联系电话。</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3.参赛作品需用A1规格纸张进行设计制作纸张材质根据实际情况自行选择。</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firstLine="643"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五、奖项设置</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57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本次比赛设一等奖、二等奖、三等奖若干。</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3"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、联系方式：</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57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董  行：18695900559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裴久徵：18695902915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王世佳：18695903197</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570"/>
        <w:textAlignment w:val="auto"/>
        <w:outlineLvl w:val="9"/>
        <w:rPr>
          <w:rFonts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left="0" w:leftChars="0" w:right="0" w:rightChars="0"/>
        <w:jc w:val="center"/>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                     2017年12月14日</w:t>
      </w:r>
    </w:p>
    <w:p>
      <w:pPr>
        <w:shd w:val="clear" w:color="auto" w:fill="FFFFFF"/>
        <w:spacing w:line="540" w:lineRule="exact"/>
        <w:jc w:val="right"/>
        <w:rPr>
          <w:rFonts w:ascii="仿宋_GB2312" w:hAnsi="仿宋_GB2312" w:eastAsia="仿宋_GB2312" w:cs="仿宋_GB2312"/>
          <w:sz w:val="32"/>
          <w:szCs w:val="32"/>
          <w:shd w:val="clear" w:color="auto" w:fill="FFFFFF"/>
        </w:rPr>
      </w:pPr>
    </w:p>
    <w:p>
      <w:pPr>
        <w:shd w:val="clear" w:color="auto" w:fill="FFFFFF"/>
        <w:spacing w:line="540" w:lineRule="exact"/>
        <w:jc w:val="right"/>
        <w:rPr>
          <w:rFonts w:ascii="仿宋_GB2312" w:hAnsi="仿宋_GB2312" w:eastAsia="仿宋_GB2312" w:cs="仿宋_GB2312"/>
          <w:sz w:val="32"/>
          <w:szCs w:val="32"/>
          <w:shd w:val="clear" w:color="auto" w:fill="FFFFFF"/>
        </w:rPr>
      </w:pPr>
    </w:p>
    <w:p>
      <w:pPr>
        <w:shd w:val="clear" w:color="auto" w:fill="FFFFFF"/>
        <w:spacing w:line="540" w:lineRule="exact"/>
        <w:jc w:val="right"/>
        <w:rPr>
          <w:rFonts w:ascii="仿宋_GB2312" w:hAnsi="仿宋_GB2312" w:eastAsia="仿宋_GB2312" w:cs="仿宋_GB2312"/>
          <w:sz w:val="32"/>
          <w:szCs w:val="32"/>
          <w:shd w:val="clear" w:color="auto" w:fill="FFFFFF"/>
        </w:rPr>
      </w:pPr>
      <w:bookmarkStart w:id="0" w:name="_GoBack"/>
    </w:p>
    <w:bookmarkEnd w:id="0"/>
    <w:p>
      <w:pPr>
        <w:shd w:val="clear" w:color="auto" w:fill="FFFFFF"/>
        <w:spacing w:line="540" w:lineRule="exact"/>
        <w:jc w:val="right"/>
        <w:rPr>
          <w:rFonts w:ascii="仿宋_GB2312" w:hAnsi="仿宋_GB2312" w:eastAsia="仿宋_GB2312" w:cs="仿宋_GB2312"/>
          <w:sz w:val="32"/>
          <w:szCs w:val="32"/>
          <w:shd w:val="clear" w:color="auto" w:fill="FFFFFF"/>
        </w:rPr>
      </w:pPr>
    </w:p>
    <w:p>
      <w:pPr>
        <w:shd w:val="clear" w:color="auto" w:fill="FFFFFF"/>
        <w:spacing w:line="540" w:lineRule="exact"/>
        <w:jc w:val="right"/>
        <w:rPr>
          <w:rFonts w:ascii="仿宋_GB2312" w:hAnsi="仿宋_GB2312" w:eastAsia="仿宋_GB2312" w:cs="仿宋_GB2312"/>
          <w:sz w:val="32"/>
          <w:szCs w:val="32"/>
          <w:shd w:val="clear" w:color="auto" w:fill="FFFFFF"/>
        </w:rPr>
      </w:pPr>
    </w:p>
    <w:p>
      <w:pPr>
        <w:shd w:val="clear" w:color="auto" w:fill="FFFFFF"/>
        <w:spacing w:line="540" w:lineRule="exact"/>
        <w:jc w:val="right"/>
        <w:rPr>
          <w:rFonts w:ascii="仿宋_GB2312" w:hAnsi="仿宋_GB2312" w:eastAsia="仿宋_GB2312" w:cs="仿宋_GB2312"/>
          <w:sz w:val="32"/>
          <w:szCs w:val="32"/>
          <w:shd w:val="clear" w:color="auto" w:fill="FFFFFF"/>
        </w:rPr>
      </w:pPr>
    </w:p>
    <w:p>
      <w:pPr>
        <w:shd w:val="clear" w:color="auto" w:fill="FFFFFF"/>
        <w:spacing w:line="540" w:lineRule="exact"/>
        <w:jc w:val="both"/>
        <w:rPr>
          <w:rFonts w:hint="eastAsia" w:ascii="仿宋_GB2312" w:hAnsi="仿宋_GB2312" w:eastAsia="仿宋_GB2312" w:cs="仿宋_GB2312"/>
          <w:sz w:val="32"/>
          <w:szCs w:val="32"/>
          <w:shd w:val="clear" w:color="auto" w:fill="FFFFFF"/>
        </w:rPr>
      </w:pPr>
    </w:p>
    <w:p>
      <w:pPr>
        <w:shd w:val="clear" w:color="auto" w:fill="FFFFFF"/>
        <w:spacing w:line="540" w:lineRule="exact"/>
        <w:jc w:val="both"/>
        <w:rPr>
          <w:rFonts w:ascii="仿宋_GB2312" w:hAnsi="仿宋_GB2312" w:eastAsia="仿宋_GB2312" w:cs="仿宋_GB2312"/>
          <w:sz w:val="32"/>
          <w:szCs w:val="32"/>
          <w:shd w:val="clear" w:color="auto" w:fill="FFFFFF"/>
        </w:rPr>
      </w:pPr>
    </w:p>
    <w:p>
      <w:pPr>
        <w:shd w:val="clear" w:color="auto" w:fill="FFFFFF"/>
        <w:spacing w:line="540" w:lineRule="exact"/>
        <w:rPr>
          <w:rFonts w:ascii="仿宋_GB2312" w:hAnsi="仿宋_GB2312" w:eastAsia="仿宋_GB2312" w:cs="仿宋_GB2312"/>
          <w:sz w:val="32"/>
          <w:szCs w:val="32"/>
        </w:rPr>
      </w:pPr>
      <w:r>
        <w:rPr>
          <w:rFonts w:ascii="仿宋_GB2312" w:hAnsi="仿宋_GB2312" w:eastAsia="仿宋_GB2312" w:cs="仿宋_GB2312"/>
          <w:sz w:val="32"/>
          <w:szCs w:val="32"/>
          <w:shd w:val="clear" w:color="auto" w:fill="FFFFFF"/>
        </w:rPr>
        <w:pict>
          <v:line id="1030" o:spid="_x0000_s1027" o:spt="20" style="position:absolute;left:0pt;margin-left:1.75pt;margin-top:36.9pt;height:0pt;width:441pt;z-index:1024;mso-width-relative:page;mso-height-relative:page;" coordsize="21600,21600">
            <v:path arrowok="t"/>
            <v:fill focussize="0,0"/>
            <v:stroke weight="1.2pt"/>
            <v:imagedata o:title=""/>
            <o:lock v:ext="edit"/>
          </v:line>
        </w:pict>
      </w:r>
      <w:r>
        <w:rPr>
          <w:rFonts w:hint="eastAsia" w:ascii="仿宋_GB2312" w:hAnsi="仿宋_GB2312" w:eastAsia="仿宋_GB2312" w:cs="仿宋_GB2312"/>
          <w:sz w:val="32"/>
          <w:szCs w:val="32"/>
          <w:shd w:val="clear" w:color="auto" w:fill="FFFFFF"/>
        </w:rPr>
        <w:t>发 送：各学院</w:t>
      </w:r>
    </w:p>
    <w:p>
      <w:pPr>
        <w:spacing w:line="540" w:lineRule="exact"/>
        <w:rPr>
          <w:rFonts w:hint="default"/>
        </w:rPr>
      </w:pPr>
      <w:r>
        <w:rPr>
          <w:rFonts w:ascii="仿宋_GB2312" w:hAnsi="仿宋_GB2312" w:eastAsia="仿宋_GB2312" w:cs="仿宋_GB2312"/>
          <w:spacing w:val="-20"/>
          <w:sz w:val="32"/>
          <w:szCs w:val="32"/>
        </w:rPr>
        <w:pict>
          <v:line id="1031" o:spid="_x0000_s1026" o:spt="20" style="position:absolute;left:0pt;margin-left:2.5pt;margin-top:29pt;height:0pt;width:441pt;z-index:1024;mso-width-relative:page;mso-height-relative:page;" coordsize="21600,21600">
            <v:path arrowok="t"/>
            <v:fill focussize="0,0"/>
            <v:stroke weight="1.2pt"/>
            <v:imagedata o:title=""/>
            <o:lock v:ext="edit"/>
          </v:line>
        </w:pict>
      </w:r>
      <w:r>
        <w:rPr>
          <w:rFonts w:hint="eastAsia" w:ascii="仿宋_GB2312" w:hAnsi="仿宋_GB2312" w:eastAsia="仿宋_GB2312" w:cs="仿宋_GB2312"/>
          <w:spacing w:val="-20"/>
          <w:sz w:val="32"/>
          <w:szCs w:val="32"/>
        </w:rPr>
        <w:t>共青团华北水利水电大学委员会办公室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2017年12月14日印发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2D40"/>
    <w:rsid w:val="000A6C7B"/>
    <w:rsid w:val="002D16DC"/>
    <w:rsid w:val="002E4BB3"/>
    <w:rsid w:val="0041459D"/>
    <w:rsid w:val="00477801"/>
    <w:rsid w:val="00592D40"/>
    <w:rsid w:val="006A5467"/>
    <w:rsid w:val="007E2546"/>
    <w:rsid w:val="009C1C7B"/>
    <w:rsid w:val="00BA6C83"/>
    <w:rsid w:val="00BE78C5"/>
    <w:rsid w:val="00CA14A9"/>
    <w:rsid w:val="00D57E8D"/>
    <w:rsid w:val="00E04784"/>
    <w:rsid w:val="00EC0D2E"/>
    <w:rsid w:val="05A037BF"/>
    <w:rsid w:val="415F09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cs="宋体"/>
      <w:b/>
      <w:kern w:val="44"/>
      <w:sz w:val="48"/>
      <w:szCs w:val="48"/>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0" w:afterAutospacing="1"/>
    </w:pPr>
    <w:rPr>
      <w:sz w:val="24"/>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默认"/>
    <w:qFormat/>
    <w:uiPriority w:val="0"/>
    <w:pPr>
      <w:framePr w:wrap="around" w:vAnchor="margin" w:hAnchor="text" w:y="1"/>
    </w:pPr>
    <w:rPr>
      <w:rFonts w:hint="eastAsia" w:ascii="Arial Unicode MS" w:hAnsi="Arial Unicode MS" w:eastAsia="宋体" w:cs="Arial Unicode MS"/>
      <w:color w:val="000000"/>
      <w:sz w:val="22"/>
      <w:szCs w:val="22"/>
      <w:u w:color="000000"/>
      <w:lang w:val="zh-TW" w:eastAsia="zh-TW" w:bidi="ar-SA"/>
    </w:rPr>
  </w:style>
  <w:style w:type="character" w:customStyle="1" w:styleId="9">
    <w:name w:val="无 A"/>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Words>
  <Characters>1026</Characters>
  <Lines>8</Lines>
  <Paragraphs>2</Paragraphs>
  <TotalTime>0</TotalTime>
  <ScaleCrop>false</ScaleCrop>
  <LinksUpToDate>false</LinksUpToDate>
  <CharactersWithSpaces>1203</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2017-10-13T06:22:00Z</dcterms:created>
  <dc:creator>Administrator</dc:creator>
  <cp:lastModifiedBy>Administrator</cp:lastModifiedBy>
  <dcterms:modified xsi:type="dcterms:W3CDTF">2017-12-14T08:27:45Z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