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pacing w:val="-20"/>
          <w:sz w:val="36"/>
          <w:szCs w:val="36"/>
        </w:rPr>
        <w:t>华北水利水电大学</w:t>
      </w:r>
      <w:r>
        <w:rPr>
          <w:rFonts w:hint="eastAsia" w:ascii="方正小标宋简体" w:hAnsi="方正小标宋简体" w:eastAsia="方正小标宋简体" w:cs="方正小标宋简体"/>
          <w:spacing w:val="-20"/>
          <w:sz w:val="36"/>
          <w:szCs w:val="36"/>
          <w:highlight w:val="none"/>
          <w:lang w:eastAsia="zh-CN"/>
        </w:rPr>
        <w:t>学生</w:t>
      </w:r>
      <w:r>
        <w:rPr>
          <w:rFonts w:hint="eastAsia" w:ascii="方正小标宋简体" w:hAnsi="方正小标宋简体" w:eastAsia="方正小标宋简体" w:cs="方正小标宋简体"/>
          <w:spacing w:val="-20"/>
          <w:sz w:val="36"/>
          <w:szCs w:val="36"/>
        </w:rPr>
        <w:t>家庭经济</w:t>
      </w:r>
      <w:r>
        <w:rPr>
          <w:rFonts w:hint="eastAsia" w:ascii="方正小标宋简体" w:hAnsi="方正小标宋简体" w:eastAsia="方正小标宋简体" w:cs="方正小标宋简体"/>
          <w:spacing w:val="-20"/>
          <w:sz w:val="36"/>
          <w:szCs w:val="36"/>
          <w:lang w:eastAsia="zh-CN"/>
        </w:rPr>
        <w:t>状况</w:t>
      </w:r>
      <w:r>
        <w:rPr>
          <w:rFonts w:hint="eastAsia" w:ascii="方正小标宋简体" w:hAnsi="方正小标宋简体" w:eastAsia="方正小标宋简体" w:cs="方正小标宋简体"/>
          <w:spacing w:val="-20"/>
          <w:sz w:val="36"/>
          <w:szCs w:val="36"/>
        </w:rPr>
        <w:t>量化测评指标体系</w:t>
      </w:r>
    </w:p>
    <w:tbl>
      <w:tblPr>
        <w:tblStyle w:val="3"/>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50"/>
        <w:gridCol w:w="644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41" w:type="dxa"/>
            <w:tcBorders>
              <w:tl2br w:val="nil"/>
              <w:tr2bl w:val="nil"/>
            </w:tcBorders>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cs="仿宋_GB2312"/>
                <w:kern w:val="0"/>
                <w:sz w:val="24"/>
                <w:szCs w:val="24"/>
              </w:rPr>
              <w:t>类别</w:t>
            </w:r>
          </w:p>
        </w:tc>
        <w:tc>
          <w:tcPr>
            <w:tcW w:w="1650" w:type="dxa"/>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cs="仿宋_GB2312"/>
                <w:kern w:val="0"/>
                <w:sz w:val="24"/>
                <w:szCs w:val="24"/>
              </w:rPr>
              <w:t>指标</w:t>
            </w:r>
          </w:p>
        </w:tc>
        <w:tc>
          <w:tcPr>
            <w:tcW w:w="6447" w:type="dxa"/>
            <w:tcBorders>
              <w:tl2br w:val="nil"/>
              <w:tr2bl w:val="nil"/>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cs="仿宋_GB2312"/>
                <w:kern w:val="0"/>
                <w:sz w:val="24"/>
                <w:szCs w:val="24"/>
              </w:rPr>
              <w:t>主要观测点</w:t>
            </w:r>
          </w:p>
        </w:tc>
        <w:tc>
          <w:tcPr>
            <w:tcW w:w="528" w:type="dxa"/>
            <w:tcBorders>
              <w:tl2br w:val="nil"/>
              <w:tr2bl w:val="nil"/>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cs="仿宋_GB2312"/>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41" w:type="dxa"/>
            <w:vMerge w:val="restart"/>
            <w:tcBorders>
              <w:tl2br w:val="nil"/>
              <w:tr2bl w:val="nil"/>
            </w:tcBorders>
            <w:noWrap w:val="0"/>
            <w:vAlign w:val="center"/>
          </w:tcPr>
          <w:p>
            <w:pPr>
              <w:spacing w:line="3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家庭经济状况量化自评</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（60分）</w:t>
            </w:r>
          </w:p>
        </w:tc>
        <w:tc>
          <w:tcPr>
            <w:tcW w:w="1650" w:type="dxa"/>
            <w:vMerge w:val="restart"/>
            <w:tcBorders>
              <w:tl2br w:val="nil"/>
              <w:tr2bl w:val="nil"/>
            </w:tcBorders>
            <w:noWrap w:val="0"/>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学生本人</w:t>
            </w:r>
          </w:p>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基本情况</w:t>
            </w:r>
          </w:p>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6447"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无固定生活来源的孤儿或残疾学生（10分）；孤儿或残疾学生（5分）；特困救助学生（8分）；烈士子女（5分）。</w:t>
            </w:r>
          </w:p>
        </w:tc>
        <w:tc>
          <w:tcPr>
            <w:tcW w:w="528"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41" w:type="dxa"/>
            <w:vMerge w:val="continue"/>
            <w:tcBorders>
              <w:tl2br w:val="nil"/>
              <w:tr2bl w:val="nil"/>
            </w:tcBorders>
            <w:noWrap w:val="0"/>
            <w:vAlign w:val="center"/>
          </w:tcPr>
          <w:p>
            <w:pPr>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本人长期身患重病，需持续不断地接受治疗（需提供县级及以上医疗机构证明材料）（8分）。</w:t>
            </w:r>
          </w:p>
        </w:tc>
        <w:tc>
          <w:tcPr>
            <w:tcW w:w="528"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restart"/>
            <w:tcBorders>
              <w:tl2br w:val="nil"/>
              <w:tr2bl w:val="nil"/>
            </w:tcBorders>
            <w:noWrap w:val="0"/>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学生家庭</w:t>
            </w:r>
          </w:p>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经济基本情况</w:t>
            </w:r>
          </w:p>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w:t>
            </w:r>
          </w:p>
        </w:tc>
        <w:tc>
          <w:tcPr>
            <w:tcW w:w="6447"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城乡低保家庭（8分）。</w:t>
            </w:r>
          </w:p>
        </w:tc>
        <w:tc>
          <w:tcPr>
            <w:tcW w:w="528"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adjustRightInd w:val="0"/>
              <w:snapToGrid w:val="0"/>
              <w:spacing w:line="3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父母双方均有残疾或丧失劳动能力（10分）；父母一方有残疾或丧失劳动能力（7分）；父母一方有残疾或部分丧失劳动能力</w:t>
            </w:r>
          </w:p>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（4分）；父母一方有残疾但未丧失劳动能力（1分）。</w:t>
            </w:r>
          </w:p>
        </w:tc>
        <w:tc>
          <w:tcPr>
            <w:tcW w:w="528"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父母一方有重大疾病正在治疗，难以维持基本的生活费用（8分）。</w:t>
            </w:r>
          </w:p>
        </w:tc>
        <w:tc>
          <w:tcPr>
            <w:tcW w:w="528"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兄弟姐妹有重大疾病正在治疗，难以维持基本的生活费用（5分）。</w:t>
            </w:r>
          </w:p>
        </w:tc>
        <w:tc>
          <w:tcPr>
            <w:tcW w:w="528"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家庭赡养的祖父母/外祖父母有重大疾病正在治疗（5分）。</w:t>
            </w:r>
          </w:p>
        </w:tc>
        <w:tc>
          <w:tcPr>
            <w:tcW w:w="528" w:type="dxa"/>
            <w:tcBorders>
              <w:tl2br w:val="nil"/>
              <w:tr2bl w:val="nil"/>
            </w:tcBorders>
            <w:noWrap w:val="0"/>
            <w:vAlign w:val="center"/>
          </w:tcPr>
          <w:p>
            <w:pPr>
              <w:widowControl/>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家庭经济特别困难、无固定收入的单亲家庭子女（5分）。</w:t>
            </w:r>
          </w:p>
        </w:tc>
        <w:tc>
          <w:tcPr>
            <w:tcW w:w="528"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家庭经济困难且有2人以上同时上大学（8分）；家庭经济困难且有2人以上同时受教育（5分）。 </w:t>
            </w:r>
          </w:p>
        </w:tc>
        <w:tc>
          <w:tcPr>
            <w:tcW w:w="528" w:type="dxa"/>
            <w:tcBorders>
              <w:tl2br w:val="nil"/>
              <w:tr2bl w:val="nil"/>
            </w:tcBorders>
            <w:noWrap w:val="0"/>
            <w:vAlign w:val="center"/>
          </w:tcPr>
          <w:p>
            <w:pPr>
              <w:adjustRightInd w:val="0"/>
              <w:snapToGrid w:val="0"/>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restart"/>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生源地经济状况（10分）</w:t>
            </w:r>
          </w:p>
        </w:tc>
        <w:tc>
          <w:tcPr>
            <w:tcW w:w="6447" w:type="dxa"/>
            <w:tcBorders>
              <w:tl2br w:val="nil"/>
              <w:tr2bl w:val="nil"/>
            </w:tcBorders>
            <w:noWrap w:val="0"/>
            <w:vAlign w:val="center"/>
          </w:tcPr>
          <w:p>
            <w:pPr>
              <w:widowControl/>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国家级贫困县（8分）。</w:t>
            </w:r>
          </w:p>
        </w:tc>
        <w:tc>
          <w:tcPr>
            <w:tcW w:w="528" w:type="dxa"/>
            <w:tcBorders>
              <w:tl2br w:val="nil"/>
              <w:tr2bl w:val="nil"/>
            </w:tcBorders>
            <w:noWrap w:val="0"/>
            <w:vAlign w:val="center"/>
          </w:tcPr>
          <w:p>
            <w:pPr>
              <w:widowControl/>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中西部地区（2分）。</w:t>
            </w:r>
          </w:p>
        </w:tc>
        <w:tc>
          <w:tcPr>
            <w:tcW w:w="528" w:type="dxa"/>
            <w:tcBorders>
              <w:tl2br w:val="nil"/>
              <w:tr2bl w:val="nil"/>
            </w:tcBorders>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641" w:type="dxa"/>
            <w:vMerge w:val="continue"/>
            <w:tcBorders>
              <w:tl2br w:val="nil"/>
              <w:tr2bl w:val="nil"/>
            </w:tcBorders>
            <w:noWrap w:val="0"/>
            <w:vAlign w:val="center"/>
          </w:tcPr>
          <w:p>
            <w:pPr>
              <w:widowControl/>
              <w:spacing w:line="340" w:lineRule="exact"/>
              <w:jc w:val="left"/>
              <w:rPr>
                <w:rFonts w:ascii="仿宋_GB2312" w:hAnsi="仿宋_GB2312" w:eastAsia="仿宋_GB2312" w:cs="仿宋_GB2312"/>
                <w:kern w:val="0"/>
                <w:sz w:val="24"/>
                <w:szCs w:val="24"/>
              </w:rPr>
            </w:pPr>
          </w:p>
        </w:tc>
        <w:tc>
          <w:tcPr>
            <w:tcW w:w="1650" w:type="dxa"/>
            <w:tcBorders>
              <w:tl2br w:val="nil"/>
              <w:tr2bl w:val="nil"/>
            </w:tcBorders>
            <w:noWrap w:val="0"/>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认定当年突发事件情况</w:t>
            </w:r>
          </w:p>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6447" w:type="dxa"/>
            <w:tcBorders>
              <w:tl2br w:val="nil"/>
              <w:tr2bl w:val="nil"/>
            </w:tcBorders>
            <w:noWrap w:val="0"/>
            <w:vAlign w:val="center"/>
          </w:tcPr>
          <w:p>
            <w:pPr>
              <w:widowControl/>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家庭所在地遭受突发自然灾害，家庭遭遇重大伤亡或损失（10分）；家中突发变故，导致经济状况急转直下，无法承担在校期间的住宿费、生活费（10分）。</w:t>
            </w:r>
          </w:p>
        </w:tc>
        <w:tc>
          <w:tcPr>
            <w:tcW w:w="528" w:type="dxa"/>
            <w:tcBorders>
              <w:tl2br w:val="nil"/>
              <w:tr2bl w:val="nil"/>
            </w:tcBorders>
            <w:noWrap w:val="0"/>
            <w:vAlign w:val="center"/>
          </w:tcPr>
          <w:p>
            <w:pPr>
              <w:widowControl/>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41" w:type="dxa"/>
            <w:vMerge w:val="continue"/>
            <w:tcBorders>
              <w:tl2br w:val="nil"/>
              <w:tr2bl w:val="nil"/>
            </w:tcBorders>
            <w:noWrap w:val="0"/>
            <w:vAlign w:val="center"/>
          </w:tcPr>
          <w:p>
            <w:pPr>
              <w:spacing w:line="340" w:lineRule="exact"/>
              <w:rPr>
                <w:rFonts w:ascii="仿宋_GB2312" w:hAnsi="仿宋_GB2312" w:eastAsia="仿宋_GB2312" w:cs="仿宋_GB2312"/>
                <w:sz w:val="24"/>
                <w:szCs w:val="24"/>
              </w:rPr>
            </w:pPr>
          </w:p>
        </w:tc>
        <w:tc>
          <w:tcPr>
            <w:tcW w:w="1650" w:type="dxa"/>
            <w:tcBorders>
              <w:tl2br w:val="nil"/>
              <w:tr2bl w:val="nil"/>
            </w:tcBorders>
            <w:noWrap w:val="0"/>
            <w:vAlign w:val="center"/>
          </w:tcPr>
          <w:p>
            <w:pPr>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自评得分X</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（最高60分）</w:t>
            </w:r>
          </w:p>
        </w:tc>
        <w:tc>
          <w:tcPr>
            <w:tcW w:w="6975" w:type="dxa"/>
            <w:gridSpan w:val="2"/>
            <w:tcBorders>
              <w:tl2br w:val="nil"/>
              <w:tr2bl w:val="nil"/>
            </w:tcBorders>
            <w:noWrap w:val="0"/>
            <w:vAlign w:val="center"/>
          </w:tcPr>
          <w:p>
            <w:pPr>
              <w:widowControl/>
              <w:spacing w:line="340" w:lineRule="exact"/>
              <w:ind w:left="5280" w:hanging="5280" w:hangingChars="2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6" w:type="dxa"/>
            <w:gridSpan w:val="4"/>
            <w:tcBorders>
              <w:tl2br w:val="nil"/>
              <w:tr2bl w:val="nil"/>
            </w:tcBorders>
            <w:noWrap w:val="0"/>
            <w:vAlign w:val="center"/>
          </w:tcPr>
          <w:p>
            <w:pPr>
              <w:adjustRightInd w:val="0"/>
              <w:snapToGrid w:val="0"/>
              <w:spacing w:line="340" w:lineRule="exact"/>
              <w:ind w:firstLine="240" w:firstLineChars="1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注：以上所有情况均需提供相应的证明材料，建档立卡家庭学生材料齐全者直接认定特别困难。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41" w:type="dxa"/>
            <w:vMerge w:val="restart"/>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班级民主评议情况（40分）</w:t>
            </w:r>
          </w:p>
        </w:tc>
        <w:tc>
          <w:tcPr>
            <w:tcW w:w="1650" w:type="dxa"/>
            <w:vMerge w:val="restart"/>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衣着饰品</w:t>
            </w:r>
          </w:p>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6447"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衣着朴素、无高档时装者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4分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1"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widowControl/>
              <w:spacing w:line="330" w:lineRule="exact"/>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rPr>
              <w:t>无贵重首饰（金饰、玉器、品牌饰品等）者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3分</w:t>
            </w:r>
            <w:r>
              <w:rPr>
                <w:rFonts w:hint="eastAsia" w:ascii="仿宋_GB2312" w:hAnsi="仿宋_GB2312" w:cs="仿宋_GB2312"/>
                <w:kern w:val="0"/>
                <w:sz w:val="24"/>
                <w:szCs w:val="24"/>
                <w:lang w:eastAsia="zh-CN"/>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641"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朴实无华、没有高档化妆品者，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3分</w:t>
            </w:r>
            <w:r>
              <w:rPr>
                <w:rFonts w:hint="eastAsia" w:ascii="仿宋_GB2312" w:hAnsi="仿宋_GB2312" w:cs="仿宋_GB2312"/>
                <w:kern w:val="0"/>
                <w:sz w:val="24"/>
                <w:szCs w:val="24"/>
                <w:lang w:val="en-US"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41" w:type="dxa"/>
            <w:vMerge w:val="continue"/>
            <w:tcBorders>
              <w:tl2br w:val="nil"/>
              <w:tr2bl w:val="nil"/>
            </w:tcBorders>
            <w:noWrap w:val="0"/>
            <w:vAlign w:val="center"/>
          </w:tcPr>
          <w:p>
            <w:pPr>
              <w:widowControl/>
              <w:spacing w:line="330" w:lineRule="exact"/>
              <w:jc w:val="left"/>
              <w:rPr>
                <w:rFonts w:ascii="仿宋_GB2312" w:hAnsi="仿宋_GB2312" w:eastAsia="仿宋_GB2312" w:cs="仿宋_GB2312"/>
                <w:kern w:val="0"/>
                <w:sz w:val="24"/>
                <w:szCs w:val="24"/>
              </w:rPr>
            </w:pPr>
          </w:p>
        </w:tc>
        <w:tc>
          <w:tcPr>
            <w:tcW w:w="1650" w:type="dxa"/>
            <w:vMerge w:val="restart"/>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饮食消费</w:t>
            </w:r>
          </w:p>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6447"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color w:val="404040"/>
                <w:kern w:val="0"/>
                <w:sz w:val="24"/>
                <w:szCs w:val="24"/>
                <w:shd w:val="clear" w:color="auto" w:fill="FFFFFF"/>
              </w:rPr>
              <w:t>经常在学校餐厅就餐</w:t>
            </w:r>
            <w:r>
              <w:rPr>
                <w:rFonts w:hint="eastAsia" w:ascii="仿宋_GB2312" w:hAnsi="仿宋_GB2312" w:cs="仿宋_GB2312"/>
                <w:color w:val="404040"/>
                <w:kern w:val="0"/>
                <w:sz w:val="24"/>
                <w:szCs w:val="24"/>
                <w:shd w:val="clear" w:color="auto" w:fill="FFFFFF"/>
                <w:lang w:val="en-US" w:eastAsia="zh-CN"/>
              </w:rPr>
              <w:t>(</w:t>
            </w:r>
            <w:r>
              <w:rPr>
                <w:rFonts w:hint="eastAsia" w:ascii="仿宋_GB2312" w:hAnsi="仿宋_GB2312" w:eastAsia="仿宋_GB2312" w:cs="仿宋_GB2312"/>
                <w:color w:val="404040"/>
                <w:kern w:val="0"/>
                <w:sz w:val="24"/>
                <w:szCs w:val="24"/>
                <w:shd w:val="clear" w:color="auto" w:fill="FFFFFF"/>
              </w:rPr>
              <w:t>6分</w:t>
            </w:r>
            <w:r>
              <w:rPr>
                <w:rFonts w:hint="eastAsia" w:ascii="仿宋_GB2312" w:hAnsi="仿宋_GB2312" w:cs="仿宋_GB2312"/>
                <w:color w:val="404040"/>
                <w:kern w:val="0"/>
                <w:sz w:val="24"/>
                <w:szCs w:val="24"/>
                <w:shd w:val="clear" w:color="auto" w:fill="FFFFFF"/>
                <w:lang w:val="en-US" w:eastAsia="zh-CN"/>
              </w:rPr>
              <w:t>)</w:t>
            </w:r>
            <w:r>
              <w:rPr>
                <w:rFonts w:hint="eastAsia" w:ascii="仿宋_GB2312" w:hAnsi="仿宋_GB2312" w:eastAsia="仿宋_GB2312" w:cs="仿宋_GB2312"/>
                <w:color w:val="404040"/>
                <w:kern w:val="0"/>
                <w:sz w:val="24"/>
                <w:szCs w:val="24"/>
                <w:shd w:val="clear" w:color="auto" w:fill="FFFFFF"/>
              </w:rPr>
              <w:t>；经常性校外就餐或外卖等消费行为</w:t>
            </w:r>
            <w:r>
              <w:rPr>
                <w:rFonts w:hint="eastAsia" w:ascii="仿宋_GB2312" w:hAnsi="仿宋_GB2312" w:cs="仿宋_GB2312"/>
                <w:color w:val="404040"/>
                <w:kern w:val="0"/>
                <w:sz w:val="24"/>
                <w:szCs w:val="24"/>
                <w:shd w:val="clear" w:color="auto" w:fill="FFFFFF"/>
                <w:lang w:eastAsia="zh-CN"/>
              </w:rPr>
              <w:t>（</w:t>
            </w:r>
            <w:r>
              <w:rPr>
                <w:rFonts w:hint="eastAsia" w:ascii="仿宋_GB2312" w:hAnsi="仿宋_GB2312" w:cs="仿宋_GB2312"/>
                <w:color w:val="404040"/>
                <w:kern w:val="0"/>
                <w:sz w:val="24"/>
                <w:szCs w:val="24"/>
                <w:shd w:val="clear" w:color="auto" w:fill="FFFFFF"/>
                <w:lang w:val="en-US" w:eastAsia="zh-CN"/>
              </w:rPr>
              <w:t>0分</w:t>
            </w:r>
            <w:r>
              <w:rPr>
                <w:rFonts w:hint="eastAsia" w:ascii="仿宋_GB2312" w:hAnsi="仿宋_GB2312" w:cs="仿宋_GB2312"/>
                <w:color w:val="404040"/>
                <w:kern w:val="0"/>
                <w:sz w:val="24"/>
                <w:szCs w:val="24"/>
                <w:shd w:val="clear" w:color="auto" w:fill="FFFFFF"/>
                <w:lang w:eastAsia="zh-CN"/>
              </w:rPr>
              <w:t>）</w:t>
            </w:r>
            <w:r>
              <w:rPr>
                <w:rFonts w:hint="eastAsia" w:ascii="仿宋_GB2312" w:hAnsi="仿宋_GB2312" w:eastAsia="仿宋_GB2312" w:cs="仿宋_GB2312"/>
                <w:color w:val="404040"/>
                <w:kern w:val="0"/>
                <w:sz w:val="24"/>
                <w:szCs w:val="24"/>
                <w:shd w:val="clear" w:color="auto" w:fill="FFFFFF"/>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1" w:type="dxa"/>
            <w:vMerge w:val="continue"/>
            <w:tcBorders>
              <w:tl2br w:val="nil"/>
              <w:tr2bl w:val="nil"/>
            </w:tcBorders>
            <w:noWrap w:val="0"/>
            <w:vAlign w:val="center"/>
          </w:tcPr>
          <w:p>
            <w:pPr>
              <w:widowControl/>
              <w:spacing w:line="33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无抽烟习惯，能配合学校、院（系）、班级遵守无烟校园规定者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4分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41" w:type="dxa"/>
            <w:vMerge w:val="continue"/>
            <w:tcBorders>
              <w:tl2br w:val="nil"/>
              <w:tr2bl w:val="nil"/>
            </w:tcBorders>
            <w:noWrap w:val="0"/>
            <w:vAlign w:val="center"/>
          </w:tcPr>
          <w:p>
            <w:pPr>
              <w:widowControl/>
              <w:spacing w:line="330" w:lineRule="exact"/>
              <w:jc w:val="left"/>
              <w:rPr>
                <w:rFonts w:ascii="仿宋_GB2312" w:hAnsi="仿宋_GB2312" w:eastAsia="仿宋_GB2312" w:cs="仿宋_GB2312"/>
                <w:kern w:val="0"/>
                <w:sz w:val="24"/>
                <w:szCs w:val="24"/>
              </w:rPr>
            </w:pPr>
          </w:p>
        </w:tc>
        <w:tc>
          <w:tcPr>
            <w:tcW w:w="1650" w:type="dxa"/>
            <w:vMerge w:val="restart"/>
            <w:tcBorders>
              <w:tl2br w:val="nil"/>
              <w:tr2bl w:val="nil"/>
            </w:tcBorders>
            <w:noWrap w:val="0"/>
            <w:vAlign w:val="center"/>
          </w:tcPr>
          <w:p>
            <w:pPr>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日常用品</w:t>
            </w:r>
          </w:p>
          <w:p>
            <w:pPr>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6447" w:type="dxa"/>
            <w:tcBorders>
              <w:tl2br w:val="nil"/>
              <w:tr2bl w:val="nil"/>
            </w:tcBorders>
            <w:noWrap w:val="0"/>
            <w:vAlign w:val="center"/>
          </w:tcPr>
          <w:p>
            <w:pPr>
              <w:spacing w:line="33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没有高档手机（价值3000元以上）</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4</w:t>
            </w:r>
            <w:r>
              <w:rPr>
                <w:rFonts w:hint="eastAsia" w:ascii="仿宋_GB2312" w:hAnsi="仿宋_GB2312" w:cs="仿宋_GB2312"/>
                <w:kern w:val="0"/>
                <w:sz w:val="24"/>
                <w:szCs w:val="24"/>
                <w:lang w:eastAsia="zh-CN"/>
              </w:rPr>
              <w:t>分）。</w:t>
            </w:r>
          </w:p>
        </w:tc>
        <w:tc>
          <w:tcPr>
            <w:tcW w:w="528"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41" w:type="dxa"/>
            <w:vMerge w:val="continue"/>
            <w:tcBorders>
              <w:tl2br w:val="nil"/>
              <w:tr2bl w:val="nil"/>
            </w:tcBorders>
            <w:noWrap w:val="0"/>
            <w:vAlign w:val="center"/>
          </w:tcPr>
          <w:p>
            <w:pPr>
              <w:widowControl/>
              <w:spacing w:line="33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没有高档电脑（价值5000元以上）</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3分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41" w:type="dxa"/>
            <w:vMerge w:val="continue"/>
            <w:tcBorders>
              <w:tl2br w:val="nil"/>
              <w:tr2bl w:val="nil"/>
            </w:tcBorders>
            <w:noWrap w:val="0"/>
            <w:vAlign w:val="center"/>
          </w:tcPr>
          <w:p>
            <w:pPr>
              <w:widowControl/>
              <w:spacing w:line="330" w:lineRule="exact"/>
              <w:jc w:val="lef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没有iPad、（智能）手表等（价值3000元以上）</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3分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41" w:type="dxa"/>
            <w:vMerge w:val="continue"/>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p>
        </w:tc>
        <w:tc>
          <w:tcPr>
            <w:tcW w:w="1650" w:type="dxa"/>
            <w:vMerge w:val="restart"/>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综合表现</w:t>
            </w:r>
          </w:p>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根据学生家庭经济实际困难情况和平时消费情况，勤俭节约者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2分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；表现一般者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1分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；奢侈浪费者</w:t>
            </w: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0分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41" w:type="dxa"/>
            <w:vMerge w:val="continue"/>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家庭经济困难但能遵守学校纪律，按时缴纳学费或按规定办理缓交手续者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2分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641" w:type="dxa"/>
            <w:vMerge w:val="continue"/>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widowControl/>
              <w:spacing w:line="330" w:lineRule="exact"/>
              <w:rPr>
                <w:rFonts w:ascii="仿宋_GB2312" w:hAnsi="仿宋_GB2312" w:cs="仿宋_GB2312"/>
                <w:kern w:val="0"/>
                <w:sz w:val="24"/>
                <w:szCs w:val="24"/>
              </w:rPr>
            </w:pPr>
            <w:r>
              <w:rPr>
                <w:rFonts w:hint="eastAsia" w:ascii="仿宋_GB2312" w:hAnsi="仿宋_GB2312" w:eastAsia="仿宋_GB2312" w:cs="仿宋_GB2312"/>
                <w:kern w:val="0"/>
                <w:sz w:val="24"/>
                <w:szCs w:val="24"/>
              </w:rPr>
              <w:t>在校内参加勤工助学岗位（如果新学年的勤工助学名单未确定，可参考上学年学生参加勤工助学的情况）或校外勤工俭学、自立自强者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2分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1" w:type="dxa"/>
            <w:vMerge w:val="continue"/>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申请有生源地或高校国家助学贷款者，积极自助者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2分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641" w:type="dxa"/>
            <w:vMerge w:val="continue"/>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p>
        </w:tc>
        <w:tc>
          <w:tcPr>
            <w:tcW w:w="1650"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有突出的诚实守信、自立自强、拾金不昧等事迹者</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2分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641" w:type="dxa"/>
            <w:vMerge w:val="continue"/>
            <w:tcBorders>
              <w:tl2br w:val="nil"/>
              <w:tr2bl w:val="nil"/>
            </w:tcBorders>
            <w:noWrap w:val="0"/>
            <w:vAlign w:val="center"/>
          </w:tcPr>
          <w:p>
            <w:pPr>
              <w:spacing w:line="330" w:lineRule="exact"/>
              <w:jc w:val="center"/>
              <w:rPr>
                <w:rFonts w:ascii="仿宋_GB2312" w:hAnsi="仿宋_GB2312" w:eastAsia="仿宋_GB2312" w:cs="仿宋_GB2312"/>
                <w:kern w:val="0"/>
                <w:sz w:val="24"/>
                <w:szCs w:val="24"/>
              </w:rPr>
            </w:pPr>
          </w:p>
        </w:tc>
        <w:tc>
          <w:tcPr>
            <w:tcW w:w="1650" w:type="dxa"/>
            <w:tcBorders>
              <w:tl2br w:val="nil"/>
              <w:tr2bl w:val="nil"/>
            </w:tcBorders>
            <w:noWrap w:val="0"/>
            <w:vAlign w:val="center"/>
          </w:tcPr>
          <w:p>
            <w:pPr>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其他情形</w:t>
            </w:r>
          </w:p>
          <w:p>
            <w:pPr>
              <w:spacing w:line="330" w:lineRule="exact"/>
              <w:jc w:val="center"/>
              <w:rPr>
                <w:rFonts w:ascii="仿宋_GB2312" w:hAnsi="仿宋_GB2312" w:eastAsia="仿宋_GB2312" w:cs="仿宋_GB2312"/>
                <w:kern w:val="0"/>
                <w:sz w:val="24"/>
                <w:szCs w:val="24"/>
              </w:rPr>
            </w:pPr>
          </w:p>
        </w:tc>
        <w:tc>
          <w:tcPr>
            <w:tcW w:w="6447" w:type="dxa"/>
            <w:tcBorders>
              <w:tl2br w:val="nil"/>
              <w:tr2bl w:val="nil"/>
            </w:tcBorders>
            <w:noWrap w:val="0"/>
            <w:vAlign w:val="center"/>
          </w:tcPr>
          <w:p>
            <w:pPr>
              <w:pStyle w:val="2"/>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有如下情况的不作认定：（1）未经批准在校外租房者；（2）提供家庭经济困难材料弄虚作假者；（3）有抽烟、酗酒嗜好者；（4）经常出入营业性网吧、通宵上网打游戏者；（5）经常与朋友聚餐、出入KTV等消费场所者；（6）与家庭经济状况不符的其它不当消费行为者；（7）参与互联网博彩（如赌球等行为）者；参与不良网贷者。</w:t>
            </w:r>
            <w:r>
              <w:rPr>
                <w:rFonts w:hint="eastAsia" w:ascii="仿宋_GB2312" w:hAnsi="仿宋_GB2312" w:cs="仿宋_GB2312"/>
                <w:kern w:val="0"/>
                <w:sz w:val="24"/>
                <w:szCs w:val="24"/>
                <w:lang w:eastAsia="zh-CN"/>
              </w:rPr>
              <w:t>（填“有”</w:t>
            </w:r>
            <w:r>
              <w:rPr>
                <w:rFonts w:hint="eastAsia" w:ascii="仿宋_GB2312" w:hAnsi="仿宋_GB2312" w:cs="仿宋_GB2312"/>
                <w:kern w:val="0"/>
                <w:sz w:val="24"/>
                <w:szCs w:val="24"/>
                <w:lang w:val="en-US" w:eastAsia="zh-CN"/>
              </w:rPr>
              <w:t>/“无”</w:t>
            </w:r>
            <w:r>
              <w:rPr>
                <w:rFonts w:hint="eastAsia" w:ascii="仿宋_GB2312" w:hAnsi="仿宋_GB2312" w:cs="仿宋_GB2312"/>
                <w:kern w:val="0"/>
                <w:sz w:val="24"/>
                <w:szCs w:val="24"/>
                <w:lang w:eastAsia="zh-CN"/>
              </w:rPr>
              <w:t>）</w:t>
            </w:r>
          </w:p>
        </w:tc>
        <w:tc>
          <w:tcPr>
            <w:tcW w:w="528" w:type="dxa"/>
            <w:tcBorders>
              <w:tl2br w:val="nil"/>
              <w:tr2bl w:val="nil"/>
            </w:tcBorders>
            <w:noWrap w:val="0"/>
            <w:vAlign w:val="center"/>
          </w:tcPr>
          <w:p>
            <w:pPr>
              <w:widowControl/>
              <w:spacing w:line="330" w:lineRule="exact"/>
              <w:rPr>
                <w:rFonts w:ascii="仿宋_GB2312" w:hAnsi="仿宋_GB2312" w:eastAsia="仿宋_GB2312" w:cs="仿宋_GB2312"/>
                <w:kern w:val="0"/>
                <w:sz w:val="24"/>
                <w:szCs w:val="24"/>
              </w:rPr>
            </w:pPr>
          </w:p>
          <w:p>
            <w:pPr>
              <w:widowControl/>
              <w:spacing w:line="330" w:lineRule="exact"/>
              <w:rPr>
                <w:rFonts w:ascii="仿宋_GB2312" w:hAnsi="仿宋_GB2312" w:eastAsia="仿宋_GB2312" w:cs="仿宋_GB2312"/>
                <w:kern w:val="0"/>
                <w:sz w:val="24"/>
                <w:szCs w:val="24"/>
              </w:rPr>
            </w:pPr>
          </w:p>
          <w:p>
            <w:pPr>
              <w:spacing w:line="33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41" w:type="dxa"/>
            <w:vMerge w:val="continue"/>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1650" w:type="dxa"/>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评议得</w:t>
            </w:r>
            <w:r>
              <w:rPr>
                <w:rFonts w:hint="eastAsia" w:ascii="仿宋_GB2312" w:hAnsi="仿宋_GB2312" w:cs="仿宋_GB2312"/>
                <w:kern w:val="0"/>
                <w:sz w:val="24"/>
                <w:szCs w:val="24"/>
              </w:rPr>
              <w:t>分Y</w:t>
            </w:r>
            <w:r>
              <w:rPr>
                <w:rFonts w:hint="eastAsia" w:ascii="仿宋_GB2312" w:hAnsi="仿宋_GB2312" w:eastAsia="仿宋_GB2312" w:cs="仿宋_GB2312"/>
                <w:kern w:val="0"/>
                <w:sz w:val="24"/>
                <w:szCs w:val="24"/>
              </w:rPr>
              <w:t>（最高40分）</w:t>
            </w:r>
          </w:p>
        </w:tc>
        <w:tc>
          <w:tcPr>
            <w:tcW w:w="6975" w:type="dxa"/>
            <w:gridSpan w:val="2"/>
            <w:tcBorders>
              <w:tl2br w:val="nil"/>
              <w:tr2bl w:val="nil"/>
            </w:tcBorders>
            <w:noWrap w:val="0"/>
            <w:vAlign w:val="center"/>
          </w:tcPr>
          <w:p>
            <w:pPr>
              <w:widowControl/>
              <w:spacing w:line="330" w:lineRule="exact"/>
              <w:ind w:firstLine="5760" w:firstLineChars="24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41" w:type="dxa"/>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p>
        </w:tc>
        <w:tc>
          <w:tcPr>
            <w:tcW w:w="1650" w:type="dxa"/>
            <w:tcBorders>
              <w:tl2br w:val="nil"/>
              <w:tr2bl w:val="nil"/>
            </w:tcBorders>
            <w:noWrap w:val="0"/>
            <w:vAlign w:val="center"/>
          </w:tcPr>
          <w:p>
            <w:pPr>
              <w:widowControl/>
              <w:spacing w:line="330" w:lineRule="exact"/>
              <w:jc w:val="center"/>
              <w:rPr>
                <w:rFonts w:ascii="仿宋_GB2312" w:hAnsi="仿宋_GB2312" w:eastAsia="仿宋_GB2312" w:cs="仿宋_GB2312"/>
                <w:kern w:val="0"/>
                <w:sz w:val="24"/>
                <w:szCs w:val="24"/>
              </w:rPr>
            </w:pPr>
            <w:r>
              <w:rPr>
                <w:rFonts w:hint="eastAsia" w:ascii="仿宋_GB2312" w:hAnsi="仿宋_GB2312" w:cs="仿宋_GB2312"/>
                <w:kern w:val="0"/>
                <w:sz w:val="24"/>
                <w:szCs w:val="24"/>
              </w:rPr>
              <w:t>总分M</w:t>
            </w:r>
          </w:p>
        </w:tc>
        <w:tc>
          <w:tcPr>
            <w:tcW w:w="6975" w:type="dxa"/>
            <w:gridSpan w:val="2"/>
            <w:tcBorders>
              <w:tl2br w:val="nil"/>
              <w:tr2bl w:val="nil"/>
            </w:tcBorders>
            <w:noWrap w:val="0"/>
            <w:vAlign w:val="center"/>
          </w:tcPr>
          <w:p>
            <w:pPr>
              <w:widowControl/>
              <w:spacing w:line="330" w:lineRule="exact"/>
              <w:ind w:firstLine="4920" w:firstLineChars="20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分</w:t>
            </w:r>
          </w:p>
        </w:tc>
      </w:tr>
    </w:tbl>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2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家庭经济困难学生认定是做好家庭经济困难学生资助工作的重要环节，体现了党和政府及学校对困难学生的关心和支持。民主评议小组要本着认真负责、实事求是的原则认真对申请学生进行评议，如有弄虚作假、暗箱操作等行为，学校将严肃处理。</w:t>
      </w:r>
    </w:p>
    <w:p>
      <w:pPr>
        <w:spacing w:line="2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2．为保护学生隐私，本表内容保密，仅供家庭经济困难认定使用，学生所在学院要严加保管。</w:t>
      </w:r>
    </w:p>
    <w:p>
      <w:pPr>
        <w:spacing w:line="280" w:lineRule="exact"/>
        <w:ind w:firstLine="480" w:firstLineChars="200"/>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3．提交本表时需同时提交建档立卡、低保证、孤儿证、烈士证、残疾证等相关材料。</w:t>
      </w:r>
    </w:p>
    <w:p>
      <w:pPr>
        <w:spacing w:line="280" w:lineRule="exact"/>
        <w:ind w:firstLine="480" w:firstLineChars="200"/>
        <w:rPr>
          <w:rFonts w:hint="eastAsia" w:ascii="仿宋_GB2312" w:hAnsi="仿宋"/>
          <w:kern w:val="0"/>
          <w:sz w:val="24"/>
          <w:szCs w:val="24"/>
        </w:rPr>
      </w:pPr>
      <w:r>
        <w:rPr>
          <w:rFonts w:hint="eastAsia" w:ascii="仿宋_GB2312" w:hAnsi="仿宋_GB2312" w:eastAsia="仿宋_GB2312" w:cs="仿宋_GB2312"/>
          <w:sz w:val="24"/>
          <w:szCs w:val="24"/>
        </w:rPr>
        <w:t>4. 本表用A4纸正反打印</w:t>
      </w:r>
      <w:r>
        <w:rPr>
          <w:rFonts w:hint="eastAsia" w:ascii="仿宋_GB2312" w:hAnsi="仿宋_GB2312" w:cs="仿宋_GB2312"/>
          <w:sz w:val="24"/>
          <w:szCs w:val="24"/>
        </w:rPr>
        <w:t>，</w:t>
      </w:r>
      <w:r>
        <w:rPr>
          <w:rFonts w:hint="eastAsia" w:ascii="仿宋_GB2312" w:hAnsi="仿宋_GB2312" w:eastAsia="仿宋_GB2312" w:cs="仿宋_GB2312"/>
          <w:sz w:val="24"/>
          <w:szCs w:val="24"/>
        </w:rPr>
        <w:t>将此表与家庭经济困难学生认定申请表一同交至学院统一保管。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7202F"/>
    <w:rsid w:val="132114E1"/>
    <w:rsid w:val="16F7001D"/>
    <w:rsid w:val="3A37202F"/>
    <w:rsid w:val="4F3F5360"/>
    <w:rsid w:val="53CC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2020-08-31T02:25:00Z</dcterms:created>
  <dc:creator>小小</dc:creator>
  <cp:lastModifiedBy>(´இ皿இ｀)</cp:lastModifiedBy>
  <cp:lastPrinted>2020-09-01T06:16:00Z</cp:lastPrinted>
  <dcterms:modified xsi:type="dcterms:W3CDTF">2021-11-25T07:23:14Z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E56A0B804BB148BD9F2FC87F6FA1CD5D</vt:lpwstr>
  </property>
</Properties>
</file>