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C0" w:rsidRPr="00735D1F" w:rsidRDefault="007A72C0" w:rsidP="007A72C0">
      <w:pPr>
        <w:jc w:val="center"/>
        <w:rPr>
          <w:rFonts w:ascii="Calibri" w:eastAsia="宋体" w:hAnsi="Calibri" w:cs="Times New Roman"/>
          <w:b/>
          <w:color w:val="FF0000"/>
          <w:sz w:val="30"/>
          <w:szCs w:val="30"/>
        </w:rPr>
      </w:pPr>
      <w:r w:rsidRPr="00735D1F">
        <w:rPr>
          <w:rFonts w:ascii="Calibri" w:eastAsia="宋体" w:hAnsi="Calibri" w:cs="Times New Roman" w:hint="eastAsia"/>
          <w:b/>
          <w:color w:val="FF0000"/>
          <w:sz w:val="30"/>
          <w:szCs w:val="30"/>
        </w:rPr>
        <w:t>华北水利水电大学</w:t>
      </w:r>
    </w:p>
    <w:p w:rsidR="007A72C0" w:rsidRDefault="007A72C0" w:rsidP="007A72C0">
      <w:pPr>
        <w:jc w:val="center"/>
        <w:rPr>
          <w:rFonts w:ascii="Wingdings (L$)" w:eastAsia="方正楷体简体" w:hAnsi="Wingdings (L$)"/>
          <w:b/>
          <w:color w:val="FF0000"/>
          <w:sz w:val="52"/>
          <w:szCs w:val="52"/>
        </w:rPr>
      </w:pPr>
      <w:r>
        <w:rPr>
          <w:rFonts w:ascii="Wingdings (L$)" w:eastAsia="方正楷体简体" w:hAnsi="Wingdings (L$)" w:hint="eastAsia"/>
          <w:b/>
          <w:color w:val="FF0000"/>
          <w:sz w:val="52"/>
          <w:szCs w:val="52"/>
        </w:rPr>
        <w:t>土木工程专业评估（认证）工作</w:t>
      </w:r>
    </w:p>
    <w:p w:rsidR="007A72C0" w:rsidRPr="00735D1F" w:rsidRDefault="007A72C0" w:rsidP="007A72C0">
      <w:pPr>
        <w:jc w:val="center"/>
        <w:rPr>
          <w:rFonts w:ascii="Wingdings (L$)" w:eastAsia="方正楷体简体" w:hAnsi="Wingdings (L$)"/>
          <w:b/>
          <w:color w:val="FF0000"/>
          <w:sz w:val="52"/>
          <w:szCs w:val="52"/>
        </w:rPr>
      </w:pPr>
      <w:r>
        <w:rPr>
          <w:rFonts w:ascii="Wingdings (L$)" w:eastAsia="方正楷体简体" w:hAnsi="Wingdings (L$)" w:cs="Times New Roman" w:hint="eastAsia"/>
          <w:b/>
          <w:color w:val="FF0000"/>
          <w:sz w:val="52"/>
          <w:szCs w:val="52"/>
        </w:rPr>
        <w:t>情况</w:t>
      </w:r>
      <w:r w:rsidRPr="00092269">
        <w:rPr>
          <w:rFonts w:ascii="Wingdings (L$)" w:eastAsia="方正楷体简体" w:hAnsi="Wingdings (L$)" w:cs="Times New Roman" w:hint="eastAsia"/>
          <w:b/>
          <w:color w:val="FF0000"/>
          <w:sz w:val="52"/>
          <w:szCs w:val="52"/>
        </w:rPr>
        <w:t>简报</w:t>
      </w:r>
    </w:p>
    <w:p w:rsidR="007A72C0" w:rsidRDefault="007A72C0" w:rsidP="007A72C0">
      <w:pPr>
        <w:snapToGrid w:val="0"/>
        <w:spacing w:line="120" w:lineRule="exact"/>
        <w:jc w:val="center"/>
        <w:rPr>
          <w:rFonts w:ascii="Wingdings (L$)" w:eastAsia="方正楷体简体" w:hAnsi="Wingdings (L$)" w:cs="Times New Roman"/>
          <w:color w:val="FF0000"/>
          <w:sz w:val="28"/>
        </w:rPr>
      </w:pPr>
    </w:p>
    <w:p w:rsidR="007A72C0" w:rsidRPr="00735D1F" w:rsidRDefault="007A72C0" w:rsidP="007A72C0">
      <w:pPr>
        <w:spacing w:line="240" w:lineRule="atLeast"/>
        <w:rPr>
          <w:rFonts w:ascii="Wingdings (L$)" w:eastAsia="方正楷体简体" w:hAnsi="Wingdings (L$)" w:cs="Times New Roman"/>
          <w:b/>
          <w:color w:val="FF0000"/>
          <w:szCs w:val="21"/>
        </w:rPr>
      </w:pPr>
      <w:r w:rsidRPr="00735D1F">
        <w:rPr>
          <w:rFonts w:hint="eastAsia"/>
          <w:color w:val="FF0000"/>
          <w:szCs w:val="21"/>
        </w:rPr>
        <w:t>土木工程专业评估（认证）工作办公室</w:t>
      </w:r>
      <w:r w:rsidRPr="00735D1F">
        <w:rPr>
          <w:rFonts w:ascii="Calibri" w:eastAsia="宋体" w:hAnsi="Calibri" w:cs="Times New Roman" w:hint="eastAsia"/>
          <w:color w:val="FF0000"/>
          <w:szCs w:val="21"/>
        </w:rPr>
        <w:t>主办</w:t>
      </w:r>
      <w:r w:rsidRPr="00205EF7">
        <w:rPr>
          <w:rFonts w:ascii="Calibri" w:eastAsia="宋体" w:hAnsi="Calibri" w:cs="Times New Roman" w:hint="eastAsia"/>
          <w:color w:val="FF0000"/>
          <w:sz w:val="24"/>
        </w:rPr>
        <w:t xml:space="preserve"> </w:t>
      </w:r>
      <w:r>
        <w:rPr>
          <w:rFonts w:hint="eastAsia"/>
          <w:sz w:val="24"/>
        </w:rPr>
        <w:t xml:space="preserve">                        </w:t>
      </w:r>
      <w:r>
        <w:rPr>
          <w:rFonts w:ascii="Calibri" w:eastAsia="宋体" w:hAnsi="Calibri" w:cs="Times New Roman" w:hint="eastAsia"/>
          <w:sz w:val="24"/>
        </w:rPr>
        <w:t>第</w:t>
      </w:r>
      <w:r>
        <w:rPr>
          <w:rFonts w:hint="eastAsia"/>
          <w:sz w:val="24"/>
        </w:rPr>
        <w:t>3</w:t>
      </w:r>
      <w:r>
        <w:rPr>
          <w:rFonts w:ascii="Calibri" w:eastAsia="宋体" w:hAnsi="Calibri" w:cs="Times New Roman" w:hint="eastAsia"/>
          <w:sz w:val="24"/>
        </w:rPr>
        <w:t>期</w:t>
      </w:r>
    </w:p>
    <w:p w:rsidR="007A72C0" w:rsidRPr="00735D1F" w:rsidRDefault="007A72C0" w:rsidP="007A72C0">
      <w:pPr>
        <w:spacing w:line="240" w:lineRule="atLeast"/>
        <w:rPr>
          <w:b/>
          <w:color w:val="FF0000"/>
          <w:sz w:val="32"/>
          <w:szCs w:val="32"/>
          <w:u w:val="single"/>
        </w:rPr>
      </w:pPr>
      <w:r w:rsidRPr="00735D1F">
        <w:rPr>
          <w:rFonts w:hint="eastAsia"/>
          <w:b/>
          <w:color w:val="FF0000"/>
          <w:sz w:val="32"/>
          <w:szCs w:val="32"/>
          <w:u w:val="single"/>
        </w:rPr>
        <w:t xml:space="preserve">                                                  </w:t>
      </w:r>
    </w:p>
    <w:p w:rsidR="00735D1F" w:rsidRPr="007A72C0" w:rsidRDefault="00735D1F" w:rsidP="00735D1F">
      <w:pPr>
        <w:spacing w:line="240" w:lineRule="atLeast"/>
        <w:rPr>
          <w:b/>
          <w:color w:val="FF0000"/>
          <w:sz w:val="32"/>
          <w:szCs w:val="32"/>
          <w:u w:val="single"/>
        </w:rPr>
      </w:pPr>
    </w:p>
    <w:p w:rsidR="00436B97" w:rsidRPr="00923172" w:rsidRDefault="00706452" w:rsidP="007F0BE0">
      <w:pPr>
        <w:ind w:firstLineChars="300" w:firstLine="843"/>
        <w:rPr>
          <w:b/>
          <w:sz w:val="28"/>
          <w:szCs w:val="28"/>
        </w:rPr>
      </w:pPr>
      <w:r w:rsidRPr="00923172">
        <w:rPr>
          <w:rFonts w:hint="eastAsia"/>
          <w:b/>
          <w:sz w:val="28"/>
          <w:szCs w:val="28"/>
        </w:rPr>
        <w:t>土木工程专业</w:t>
      </w:r>
      <w:r w:rsidR="00923172" w:rsidRPr="00923172">
        <w:rPr>
          <w:rFonts w:hint="eastAsia"/>
          <w:b/>
          <w:sz w:val="28"/>
          <w:szCs w:val="28"/>
        </w:rPr>
        <w:t>培养方案修订</w:t>
      </w:r>
      <w:r w:rsidRPr="00923172">
        <w:rPr>
          <w:rFonts w:hint="eastAsia"/>
          <w:b/>
          <w:sz w:val="28"/>
          <w:szCs w:val="28"/>
        </w:rPr>
        <w:t>工作</w:t>
      </w:r>
      <w:r w:rsidR="007F0BE0">
        <w:rPr>
          <w:rFonts w:hint="eastAsia"/>
          <w:b/>
          <w:sz w:val="28"/>
          <w:szCs w:val="28"/>
        </w:rPr>
        <w:t>进展</w:t>
      </w:r>
      <w:r w:rsidRPr="00923172">
        <w:rPr>
          <w:rFonts w:hint="eastAsia"/>
          <w:b/>
          <w:sz w:val="28"/>
          <w:szCs w:val="28"/>
        </w:rPr>
        <w:t>（</w:t>
      </w:r>
      <w:r w:rsidR="000456E9" w:rsidRPr="00923172">
        <w:rPr>
          <w:rFonts w:hint="eastAsia"/>
          <w:b/>
          <w:sz w:val="28"/>
          <w:szCs w:val="28"/>
        </w:rPr>
        <w:t>2017.</w:t>
      </w:r>
      <w:r w:rsidR="00923172" w:rsidRPr="00923172">
        <w:rPr>
          <w:rFonts w:hint="eastAsia"/>
          <w:b/>
          <w:sz w:val="28"/>
          <w:szCs w:val="28"/>
        </w:rPr>
        <w:t>4.10</w:t>
      </w:r>
      <w:r w:rsidRPr="00923172">
        <w:rPr>
          <w:rFonts w:hint="eastAsia"/>
          <w:b/>
          <w:sz w:val="28"/>
          <w:szCs w:val="28"/>
        </w:rPr>
        <w:t>）</w:t>
      </w:r>
    </w:p>
    <w:p w:rsidR="000E4F9C" w:rsidRDefault="00923172" w:rsidP="006B3BB3">
      <w:pPr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为保证土木工程专业培养方案</w:t>
      </w:r>
      <w:r w:rsidR="003815EF">
        <w:rPr>
          <w:rFonts w:asciiTheme="minorEastAsia" w:hAnsiTheme="minorEastAsia" w:hint="eastAsia"/>
          <w:sz w:val="24"/>
          <w:szCs w:val="24"/>
        </w:rPr>
        <w:t>修订</w:t>
      </w:r>
      <w:r>
        <w:rPr>
          <w:rFonts w:asciiTheme="minorEastAsia" w:hAnsiTheme="minorEastAsia" w:hint="eastAsia"/>
          <w:sz w:val="24"/>
          <w:szCs w:val="24"/>
        </w:rPr>
        <w:t>工作高效有序开展，2017年4月8日-10日，由</w:t>
      </w:r>
      <w:r w:rsidRPr="006B3BB3">
        <w:rPr>
          <w:rFonts w:asciiTheme="minorEastAsia" w:hAnsiTheme="minorEastAsia" w:hint="eastAsia"/>
          <w:sz w:val="24"/>
          <w:szCs w:val="24"/>
        </w:rPr>
        <w:t>土木与交通学院副院长李晓克</w:t>
      </w:r>
      <w:r w:rsidR="003815EF">
        <w:rPr>
          <w:rFonts w:asciiTheme="minorEastAsia" w:hAnsiTheme="minorEastAsia" w:hint="eastAsia"/>
          <w:sz w:val="24"/>
          <w:szCs w:val="24"/>
        </w:rPr>
        <w:t>、</w:t>
      </w:r>
      <w:r w:rsidRPr="006B3BB3">
        <w:rPr>
          <w:rFonts w:asciiTheme="minorEastAsia" w:hAnsiTheme="minorEastAsia" w:hint="eastAsia"/>
          <w:sz w:val="24"/>
          <w:szCs w:val="24"/>
        </w:rPr>
        <w:t>资源与环境学院副院长</w:t>
      </w:r>
      <w:r>
        <w:rPr>
          <w:rFonts w:asciiTheme="minorEastAsia" w:hAnsiTheme="minorEastAsia" w:hint="eastAsia"/>
          <w:sz w:val="24"/>
          <w:szCs w:val="24"/>
        </w:rPr>
        <w:t>曹连海带队，土木工程专业培养方案修订工作小组成员利用周末时间，在登封市河南省招生考试学术交流中心进行了为期</w:t>
      </w:r>
      <w:r w:rsidR="00651922">
        <w:rPr>
          <w:rFonts w:asciiTheme="minorEastAsia" w:hAnsiTheme="minorEastAsia" w:hint="eastAsia"/>
          <w:sz w:val="24"/>
          <w:szCs w:val="24"/>
        </w:rPr>
        <w:t>两天半</w:t>
      </w:r>
      <w:r>
        <w:rPr>
          <w:rFonts w:asciiTheme="minorEastAsia" w:hAnsiTheme="minorEastAsia" w:hint="eastAsia"/>
          <w:sz w:val="24"/>
          <w:szCs w:val="24"/>
        </w:rPr>
        <w:t>的集中封闭工作</w:t>
      </w:r>
      <w:r w:rsidR="00162081">
        <w:rPr>
          <w:rFonts w:asciiTheme="minorEastAsia" w:hAnsiTheme="minorEastAsia" w:hint="eastAsia"/>
          <w:sz w:val="24"/>
          <w:szCs w:val="24"/>
        </w:rPr>
        <w:t>，此行主要完成工作内容如下：</w:t>
      </w:r>
    </w:p>
    <w:p w:rsidR="00162081" w:rsidRDefault="00162081" w:rsidP="006B3BB3">
      <w:pPr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一、4月8日  8:30-12:30  课程体系及教学计划修订；</w:t>
      </w:r>
    </w:p>
    <w:p w:rsidR="00162081" w:rsidRDefault="00162081" w:rsidP="00162081">
      <w:pPr>
        <w:spacing w:line="360" w:lineRule="auto"/>
        <w:ind w:leftChars="285" w:left="958" w:hangingChars="150" w:hanging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二、4月8日 14:00-19:00  结合最新评估（认证）要求，重新制定土木工程专业培养目标；</w:t>
      </w:r>
    </w:p>
    <w:p w:rsidR="00162081" w:rsidRDefault="00162081" w:rsidP="00162081">
      <w:pPr>
        <w:spacing w:line="360" w:lineRule="auto"/>
        <w:ind w:leftChars="285" w:left="958" w:hangingChars="150" w:hanging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三、4月9日 8:30-19:00结合最新评估（认证）要求，重新制定土木工程专业毕业要求并对</w:t>
      </w:r>
      <w:r w:rsidR="00651922">
        <w:rPr>
          <w:rFonts w:asciiTheme="minorEastAsia" w:hAnsiTheme="minorEastAsia" w:hint="eastAsia"/>
          <w:sz w:val="24"/>
          <w:szCs w:val="24"/>
        </w:rPr>
        <w:t>各项要求进行能力指标点分解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651922" w:rsidRDefault="00651922" w:rsidP="00162081">
      <w:pPr>
        <w:spacing w:line="360" w:lineRule="auto"/>
        <w:ind w:leftChars="285" w:left="958" w:hangingChars="150" w:hanging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四、4月10日 8:30-12:00  深入分析毕业要求与培养目标、课程体系与毕业要求及能力指标点的支撑关系，进一步完善</w:t>
      </w:r>
      <w:r w:rsidR="008B6034">
        <w:rPr>
          <w:rFonts w:asciiTheme="minorEastAsia" w:hAnsiTheme="minorEastAsia" w:hint="eastAsia"/>
          <w:sz w:val="24"/>
          <w:szCs w:val="24"/>
        </w:rPr>
        <w:t>培养方案。</w:t>
      </w:r>
    </w:p>
    <w:p w:rsidR="00706452" w:rsidRDefault="00E730C6" w:rsidP="00651922">
      <w:pPr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6B3BB3">
        <w:rPr>
          <w:rFonts w:asciiTheme="minorEastAsia" w:hAnsiTheme="minorEastAsia" w:hint="eastAsia"/>
          <w:sz w:val="24"/>
          <w:szCs w:val="24"/>
        </w:rPr>
        <w:t>土木与交通学院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6B3BB3">
        <w:rPr>
          <w:rFonts w:asciiTheme="minorEastAsia" w:hAnsiTheme="minorEastAsia" w:hint="eastAsia"/>
          <w:sz w:val="24"/>
          <w:szCs w:val="24"/>
        </w:rPr>
        <w:t>资源与环境学院</w:t>
      </w:r>
      <w:r w:rsidR="000E4F9C">
        <w:rPr>
          <w:rFonts w:asciiTheme="minorEastAsia" w:hAnsiTheme="minorEastAsia" w:hint="eastAsia"/>
          <w:sz w:val="24"/>
          <w:szCs w:val="24"/>
        </w:rPr>
        <w:t>两学院共10名老师参加了此</w:t>
      </w:r>
      <w:r w:rsidR="00651922">
        <w:rPr>
          <w:rFonts w:asciiTheme="minorEastAsia" w:hAnsiTheme="minorEastAsia" w:hint="eastAsia"/>
          <w:sz w:val="24"/>
          <w:szCs w:val="24"/>
        </w:rPr>
        <w:t>项</w:t>
      </w:r>
      <w:r w:rsidR="000E4F9C">
        <w:rPr>
          <w:rFonts w:asciiTheme="minorEastAsia" w:hAnsiTheme="minorEastAsia" w:hint="eastAsia"/>
          <w:sz w:val="24"/>
          <w:szCs w:val="24"/>
        </w:rPr>
        <w:t>工作</w:t>
      </w:r>
      <w:r w:rsidR="00651922">
        <w:rPr>
          <w:rFonts w:asciiTheme="minorEastAsia" w:hAnsiTheme="minorEastAsia" w:hint="eastAsia"/>
          <w:sz w:val="24"/>
          <w:szCs w:val="24"/>
        </w:rPr>
        <w:t>，</w:t>
      </w:r>
      <w:r w:rsidR="007F0BE0">
        <w:rPr>
          <w:rFonts w:asciiTheme="minorEastAsia" w:hAnsiTheme="minorEastAsia" w:hint="eastAsia"/>
          <w:sz w:val="24"/>
          <w:szCs w:val="24"/>
        </w:rPr>
        <w:t>修订完成土木工程专业培养方案（初稿）</w:t>
      </w:r>
      <w:r w:rsidR="000E4F9C">
        <w:rPr>
          <w:rFonts w:asciiTheme="minorEastAsia" w:hAnsiTheme="minorEastAsia" w:hint="eastAsia"/>
          <w:sz w:val="24"/>
          <w:szCs w:val="24"/>
        </w:rPr>
        <w:t>，并</w:t>
      </w:r>
      <w:r w:rsidR="00162081">
        <w:rPr>
          <w:rFonts w:asciiTheme="minorEastAsia" w:hAnsiTheme="minorEastAsia" w:hint="eastAsia"/>
          <w:sz w:val="24"/>
          <w:szCs w:val="24"/>
        </w:rPr>
        <w:t>就2017土木工程专业的培养目标、毕业要求及指标点分解、课程体系与能力指标点的支撑关系等内容</w:t>
      </w:r>
      <w:r w:rsidR="003815EF">
        <w:rPr>
          <w:rFonts w:asciiTheme="minorEastAsia" w:hAnsiTheme="minorEastAsia" w:hint="eastAsia"/>
          <w:sz w:val="24"/>
          <w:szCs w:val="24"/>
        </w:rPr>
        <w:t>依据华盛顿协议对评估（认证）的框架要求</w:t>
      </w:r>
      <w:r w:rsidR="00162081">
        <w:rPr>
          <w:rFonts w:asciiTheme="minorEastAsia" w:hAnsiTheme="minorEastAsia" w:hint="eastAsia"/>
          <w:sz w:val="24"/>
          <w:szCs w:val="24"/>
        </w:rPr>
        <w:t>开展全面研讨，为评估（认证）工作的下一步开展奠定了坚实基础。</w:t>
      </w:r>
    </w:p>
    <w:p w:rsidR="00C80013" w:rsidRPr="00C80013" w:rsidRDefault="00C80013" w:rsidP="00C80013">
      <w:pPr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C80013">
        <w:rPr>
          <w:rFonts w:asciiTheme="minorEastAsia" w:hAnsiTheme="minorEastAsia" w:hint="eastAsia"/>
          <w:sz w:val="24"/>
          <w:szCs w:val="24"/>
        </w:rPr>
        <w:t>土木工程专业评估（认证）工作办公室将</w:t>
      </w:r>
      <w:r w:rsidR="003815EF">
        <w:rPr>
          <w:rFonts w:asciiTheme="minorEastAsia" w:hAnsiTheme="minorEastAsia" w:hint="eastAsia"/>
          <w:sz w:val="24"/>
          <w:szCs w:val="24"/>
        </w:rPr>
        <w:t>陆续把此次修订完成的土木工程专业培养方案（初稿）发至部分评估</w:t>
      </w:r>
      <w:r w:rsidRPr="00C80013">
        <w:rPr>
          <w:rFonts w:asciiTheme="minorEastAsia" w:hAnsiTheme="minorEastAsia" w:hint="eastAsia"/>
          <w:sz w:val="24"/>
          <w:szCs w:val="24"/>
        </w:rPr>
        <w:t>委员及兄弟院校</w:t>
      </w:r>
      <w:r w:rsidR="003815EF">
        <w:rPr>
          <w:rFonts w:asciiTheme="minorEastAsia" w:hAnsiTheme="minorEastAsia" w:hint="eastAsia"/>
          <w:sz w:val="24"/>
          <w:szCs w:val="24"/>
        </w:rPr>
        <w:t>相关专家继续征求</w:t>
      </w:r>
      <w:r w:rsidRPr="00C80013">
        <w:rPr>
          <w:rFonts w:asciiTheme="minorEastAsia" w:hAnsiTheme="minorEastAsia" w:hint="eastAsia"/>
          <w:sz w:val="24"/>
          <w:szCs w:val="24"/>
        </w:rPr>
        <w:t>意见</w:t>
      </w:r>
      <w:r w:rsidR="003815EF">
        <w:rPr>
          <w:rFonts w:asciiTheme="minorEastAsia" w:hAnsiTheme="minorEastAsia" w:hint="eastAsia"/>
          <w:sz w:val="24"/>
          <w:szCs w:val="24"/>
        </w:rPr>
        <w:t>和建议</w:t>
      </w:r>
      <w:r w:rsidRPr="00C80013">
        <w:rPr>
          <w:rFonts w:asciiTheme="minorEastAsia" w:hAnsiTheme="minorEastAsia" w:hint="eastAsia"/>
          <w:sz w:val="24"/>
          <w:szCs w:val="24"/>
        </w:rPr>
        <w:t>。</w:t>
      </w:r>
    </w:p>
    <w:p w:rsidR="009E517C" w:rsidRPr="006B3BB3" w:rsidRDefault="009E517C" w:rsidP="003815EF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9E517C"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4667250" cy="3500436"/>
            <wp:effectExtent l="19050" t="0" r="0" b="0"/>
            <wp:docPr id="7" name="图片 2" descr="E:\土木复评\16-17下\评估工作动态\照片\登封会议\20170408_093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土木复评\16-17下\评估工作动态\照片\登封会议\20170408_0937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623" cy="3502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03C6E" w:rsidRPr="00103C6E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4619625" cy="3464720"/>
            <wp:effectExtent l="19050" t="0" r="9525" b="0"/>
            <wp:docPr id="8" name="图片 3" descr="E:\土木复评\16-17下\评估工作动态\照片\登封会议\20170408_152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土木复评\16-17下\评估工作动态\照片\登封会议\20170408_1520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965" cy="3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310" w:rsidRPr="00E21310" w:rsidRDefault="00E21310" w:rsidP="009E517C">
      <w:pPr>
        <w:spacing w:line="360" w:lineRule="auto"/>
        <w:ind w:leftChars="270" w:left="567" w:firstLineChars="200" w:firstLine="480"/>
        <w:rPr>
          <w:rFonts w:asciiTheme="minorEastAsia" w:hAnsiTheme="minorEastAsia"/>
          <w:sz w:val="24"/>
          <w:szCs w:val="24"/>
        </w:rPr>
      </w:pPr>
    </w:p>
    <w:p w:rsidR="00302057" w:rsidRPr="00874063" w:rsidRDefault="00302057" w:rsidP="00302057">
      <w:pPr>
        <w:pStyle w:val="a5"/>
        <w:spacing w:line="360" w:lineRule="auto"/>
        <w:ind w:left="1680" w:firstLineChars="0" w:firstLine="0"/>
        <w:rPr>
          <w:rFonts w:asciiTheme="minorEastAsia" w:hAnsiTheme="minorEastAsia"/>
          <w:sz w:val="24"/>
          <w:szCs w:val="24"/>
        </w:rPr>
      </w:pPr>
    </w:p>
    <w:p w:rsidR="009E517C" w:rsidRDefault="009E517C" w:rsidP="009E517C">
      <w:pPr>
        <w:spacing w:line="360" w:lineRule="auto"/>
        <w:ind w:firstLineChars="250" w:firstLine="600"/>
        <w:jc w:val="right"/>
        <w:rPr>
          <w:rFonts w:asciiTheme="minorEastAsia" w:hAnsiTheme="minorEastAsia"/>
          <w:sz w:val="24"/>
          <w:szCs w:val="24"/>
        </w:rPr>
      </w:pPr>
    </w:p>
    <w:p w:rsidR="00735D1F" w:rsidRPr="00735D1F" w:rsidRDefault="00735D1F" w:rsidP="009E517C">
      <w:pPr>
        <w:spacing w:line="360" w:lineRule="auto"/>
        <w:ind w:firstLineChars="250" w:firstLine="600"/>
        <w:jc w:val="right"/>
        <w:rPr>
          <w:rFonts w:asciiTheme="minorEastAsia" w:hAnsiTheme="minorEastAsia"/>
          <w:sz w:val="24"/>
          <w:szCs w:val="24"/>
        </w:rPr>
      </w:pPr>
      <w:r w:rsidRPr="00735D1F">
        <w:rPr>
          <w:rFonts w:asciiTheme="minorEastAsia" w:hAnsiTheme="minorEastAsia" w:hint="eastAsia"/>
          <w:sz w:val="24"/>
          <w:szCs w:val="24"/>
        </w:rPr>
        <w:t>土木工程专业评估（认证）工作办公室</w:t>
      </w:r>
    </w:p>
    <w:p w:rsidR="00D47E2E" w:rsidRPr="007A72C0" w:rsidRDefault="00735D1F" w:rsidP="007A72C0">
      <w:pPr>
        <w:spacing w:line="360" w:lineRule="auto"/>
        <w:ind w:firstLineChars="250" w:firstLine="600"/>
        <w:jc w:val="right"/>
        <w:rPr>
          <w:rFonts w:asciiTheme="minorEastAsia" w:hAnsiTheme="minorEastAsia"/>
          <w:sz w:val="24"/>
          <w:szCs w:val="24"/>
        </w:rPr>
      </w:pPr>
      <w:r w:rsidRPr="00735D1F">
        <w:rPr>
          <w:rFonts w:asciiTheme="minorEastAsia" w:hAnsiTheme="minorEastAsia" w:hint="eastAsia"/>
          <w:sz w:val="24"/>
          <w:szCs w:val="24"/>
        </w:rPr>
        <w:t>2017.</w:t>
      </w:r>
      <w:r w:rsidR="008B6034">
        <w:rPr>
          <w:rFonts w:asciiTheme="minorEastAsia" w:hAnsiTheme="minorEastAsia" w:hint="eastAsia"/>
          <w:sz w:val="24"/>
          <w:szCs w:val="24"/>
        </w:rPr>
        <w:t>4.11</w:t>
      </w:r>
    </w:p>
    <w:sectPr w:rsidR="00D47E2E" w:rsidRPr="007A72C0" w:rsidSect="00436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0CA" w:rsidRDefault="006150CA" w:rsidP="00706452">
      <w:r>
        <w:separator/>
      </w:r>
    </w:p>
  </w:endnote>
  <w:endnote w:type="continuationSeparator" w:id="1">
    <w:p w:rsidR="006150CA" w:rsidRDefault="006150CA" w:rsidP="00706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(L$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方正楷体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0CA" w:rsidRDefault="006150CA" w:rsidP="00706452">
      <w:r>
        <w:separator/>
      </w:r>
    </w:p>
  </w:footnote>
  <w:footnote w:type="continuationSeparator" w:id="1">
    <w:p w:rsidR="006150CA" w:rsidRDefault="006150CA" w:rsidP="00706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361FB"/>
    <w:multiLevelType w:val="hybridMultilevel"/>
    <w:tmpl w:val="521C8070"/>
    <w:lvl w:ilvl="0" w:tplc="556ED5FA">
      <w:start w:val="1"/>
      <w:numFmt w:val="japaneseCounting"/>
      <w:lvlText w:val="%1、"/>
      <w:lvlJc w:val="left"/>
      <w:pPr>
        <w:ind w:left="1438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">
    <w:nsid w:val="51317AD4"/>
    <w:multiLevelType w:val="hybridMultilevel"/>
    <w:tmpl w:val="71F68D86"/>
    <w:lvl w:ilvl="0" w:tplc="D3C84F6C">
      <w:start w:val="1"/>
      <w:numFmt w:val="japaneseCounting"/>
      <w:lvlText w:val="%1、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6452"/>
    <w:rsid w:val="00007093"/>
    <w:rsid w:val="000456E9"/>
    <w:rsid w:val="0009699A"/>
    <w:rsid w:val="000A045F"/>
    <w:rsid w:val="000E4F9C"/>
    <w:rsid w:val="00103C6E"/>
    <w:rsid w:val="00162081"/>
    <w:rsid w:val="00256FC5"/>
    <w:rsid w:val="002906AF"/>
    <w:rsid w:val="002E1DBD"/>
    <w:rsid w:val="00302057"/>
    <w:rsid w:val="00307F53"/>
    <w:rsid w:val="0036476E"/>
    <w:rsid w:val="003815EF"/>
    <w:rsid w:val="003E0820"/>
    <w:rsid w:val="003F4C92"/>
    <w:rsid w:val="00436B97"/>
    <w:rsid w:val="0050109D"/>
    <w:rsid w:val="00537312"/>
    <w:rsid w:val="00544F83"/>
    <w:rsid w:val="005C3406"/>
    <w:rsid w:val="005D5A50"/>
    <w:rsid w:val="006150CA"/>
    <w:rsid w:val="0061533A"/>
    <w:rsid w:val="006413CF"/>
    <w:rsid w:val="00651922"/>
    <w:rsid w:val="006B3BB3"/>
    <w:rsid w:val="00706452"/>
    <w:rsid w:val="00735D1F"/>
    <w:rsid w:val="007A72C0"/>
    <w:rsid w:val="007F0BE0"/>
    <w:rsid w:val="008114F8"/>
    <w:rsid w:val="00826FB2"/>
    <w:rsid w:val="00874063"/>
    <w:rsid w:val="008B6034"/>
    <w:rsid w:val="00923172"/>
    <w:rsid w:val="009B3C70"/>
    <w:rsid w:val="009E517C"/>
    <w:rsid w:val="00A10407"/>
    <w:rsid w:val="00A23048"/>
    <w:rsid w:val="00A337D0"/>
    <w:rsid w:val="00BB084F"/>
    <w:rsid w:val="00BB5F7B"/>
    <w:rsid w:val="00C37C1F"/>
    <w:rsid w:val="00C80013"/>
    <w:rsid w:val="00CA05A1"/>
    <w:rsid w:val="00D47E2E"/>
    <w:rsid w:val="00DE194F"/>
    <w:rsid w:val="00E21310"/>
    <w:rsid w:val="00E36D2D"/>
    <w:rsid w:val="00E730C6"/>
    <w:rsid w:val="00EB0A2A"/>
    <w:rsid w:val="00F52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B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6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64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6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6452"/>
    <w:rPr>
      <w:sz w:val="18"/>
      <w:szCs w:val="18"/>
    </w:rPr>
  </w:style>
  <w:style w:type="paragraph" w:styleId="a5">
    <w:name w:val="List Paragraph"/>
    <w:basedOn w:val="a"/>
    <w:uiPriority w:val="34"/>
    <w:qFormat/>
    <w:rsid w:val="0030205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2131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213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113</Words>
  <Characters>647</Characters>
  <Application>Microsoft Office Word</Application>
  <DocSecurity>0</DocSecurity>
  <Lines>5</Lines>
  <Paragraphs>1</Paragraphs>
  <ScaleCrop>false</ScaleCrop>
  <Company>Sky123.Org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31</cp:revision>
  <dcterms:created xsi:type="dcterms:W3CDTF">2017-03-28T03:37:00Z</dcterms:created>
  <dcterms:modified xsi:type="dcterms:W3CDTF">2017-04-11T07:46:00Z</dcterms:modified>
</cp:coreProperties>
</file>