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69" w:rsidRPr="00EF0069" w:rsidRDefault="00EF0069" w:rsidP="00EF0069">
      <w:pPr>
        <w:widowControl/>
        <w:spacing w:before="100" w:beforeAutospacing="1" w:after="100" w:afterAutospacing="1"/>
        <w:ind w:left="782"/>
        <w:jc w:val="left"/>
        <w:rPr>
          <w:rFonts w:ascii="宋体" w:eastAsia="宋体" w:hAnsi="宋体" w:cs="宋体"/>
          <w:color w:val="000000"/>
          <w:kern w:val="0"/>
          <w:szCs w:val="21"/>
        </w:rPr>
      </w:pPr>
      <w:r w:rsidRPr="00EF0069">
        <w:rPr>
          <w:rFonts w:ascii="宋体" w:eastAsia="宋体" w:hAnsi="宋体" w:cs="宋体"/>
          <w:b/>
          <w:bCs/>
          <w:color w:val="000000"/>
          <w:kern w:val="0"/>
        </w:rPr>
        <w:t>附件1</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b/>
          <w:bCs/>
          <w:color w:val="000000"/>
          <w:kern w:val="0"/>
        </w:rPr>
        <w:t>2014年度河南省高等学校人文社会科学重点</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b/>
          <w:bCs/>
          <w:color w:val="000000"/>
          <w:kern w:val="0"/>
        </w:rPr>
        <w:t>研究基地评估指标体系</w:t>
      </w:r>
    </w:p>
    <w:p w:rsidR="00EF0069" w:rsidRPr="00EF0069" w:rsidRDefault="00EF0069" w:rsidP="00EF0069">
      <w:pPr>
        <w:widowControl/>
        <w:spacing w:before="100" w:beforeAutospacing="1" w:after="100" w:afterAutospacing="1"/>
        <w:ind w:left="106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9"/>
        <w:gridCol w:w="283"/>
        <w:gridCol w:w="6946"/>
        <w:gridCol w:w="425"/>
        <w:gridCol w:w="350"/>
      </w:tblGrid>
      <w:tr w:rsidR="00EF0069" w:rsidRPr="00EF0069" w:rsidTr="00B430A7">
        <w:trPr>
          <w:tblCellSpacing w:w="0" w:type="dxa"/>
        </w:trPr>
        <w:tc>
          <w:tcPr>
            <w:tcW w:w="299"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一</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级</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指</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标</w:t>
            </w: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二</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级</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指</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标</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标               准</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自</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评</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得</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分</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实</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际</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得</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分</w:t>
            </w:r>
          </w:p>
        </w:tc>
      </w:tr>
      <w:tr w:rsidR="00EF0069" w:rsidRPr="00EF0069" w:rsidTr="00B430A7">
        <w:trPr>
          <w:trHeight w:val="750"/>
          <w:tblCellSpacing w:w="0" w:type="dxa"/>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队伍建设</w:t>
            </w: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人 员</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配 备</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专兼职人员的配备、聘任、驻</w:t>
            </w:r>
            <w:proofErr w:type="gramStart"/>
            <w:r w:rsidRPr="00EF0069">
              <w:rPr>
                <w:rFonts w:ascii="宋体" w:eastAsia="宋体" w:hAnsi="宋体" w:cs="宋体"/>
                <w:color w:val="000000"/>
                <w:kern w:val="0"/>
                <w:szCs w:val="21"/>
              </w:rPr>
              <w:t>所时间</w:t>
            </w:r>
            <w:proofErr w:type="gramEnd"/>
            <w:r w:rsidRPr="00EF0069">
              <w:rPr>
                <w:rFonts w:ascii="宋体" w:eastAsia="宋体" w:hAnsi="宋体" w:cs="宋体"/>
                <w:color w:val="000000"/>
                <w:kern w:val="0"/>
                <w:szCs w:val="21"/>
              </w:rPr>
              <w:t>符合“重点研究基地管理办法”的规定（配备、驻</w:t>
            </w:r>
            <w:proofErr w:type="gramStart"/>
            <w:r w:rsidRPr="00EF0069">
              <w:rPr>
                <w:rFonts w:ascii="宋体" w:eastAsia="宋体" w:hAnsi="宋体" w:cs="宋体"/>
                <w:color w:val="000000"/>
                <w:kern w:val="0"/>
                <w:szCs w:val="21"/>
              </w:rPr>
              <w:t>所时间</w:t>
            </w:r>
            <w:proofErr w:type="gramEnd"/>
            <w:r w:rsidRPr="00EF0069">
              <w:rPr>
                <w:rFonts w:ascii="宋体" w:eastAsia="宋体" w:hAnsi="宋体" w:cs="宋体"/>
                <w:color w:val="000000"/>
                <w:kern w:val="0"/>
                <w:szCs w:val="21"/>
              </w:rPr>
              <w:t>各占20分）</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63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职 称</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结 构</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正高职称占总人数的30%，15分；副高以上职称占总人数的60%，15分</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735"/>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学 历</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结 构</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博士学位占30%，15分，硕士以上学位人员占80%，15分</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765"/>
          <w:tblCellSpacing w:w="0" w:type="dxa"/>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科研项目</w:t>
            </w: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国家社科基金项目和国家自然科学</w:t>
            </w:r>
            <w:r w:rsidRPr="00EF0069">
              <w:rPr>
                <w:rFonts w:ascii="宋体" w:eastAsia="宋体" w:hAnsi="宋体" w:cs="宋体"/>
                <w:color w:val="000000"/>
                <w:kern w:val="0"/>
                <w:szCs w:val="21"/>
              </w:rPr>
              <w:lastRenderedPageBreak/>
              <w:t>基金项目（管理类）</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lastRenderedPageBreak/>
              <w:t>重大项目，60分/项，重点项目35分/项，一般项目25分/项，后期资助20分/项</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675"/>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教育部人文</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社科项目和其他部委项目</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教育部重大项目40分/项，重点项目30分/项，一般项目25分/项，后期资助20分/项，其他专项10分/项；其他部委社科类项目10分/项</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255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省级人文</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社科项目</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省社科规划重大项目25分/项，重点项目15分/项，一般项目10分/项；</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省政府决策招标项目10分/项；省科技厅软科学项目5分/项</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60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教育厅人文社科项目</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教育厅人文社会科学重大攻关招标项目、创新团队支持计划10分/项</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75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横 向</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项 目</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到账经费达到10万元的项目，5分/项，10万元以上的项目，每增加2万元，计1分，最高40分</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gridAfter w:val="1"/>
          <w:wAfter w:w="350" w:type="dxa"/>
          <w:trHeight w:val="750"/>
          <w:tblCellSpacing w:w="0" w:type="dxa"/>
        </w:trPr>
        <w:tc>
          <w:tcPr>
            <w:tcW w:w="7953" w:type="dxa"/>
            <w:gridSpan w:val="4"/>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※以上各类项目应按本年度立项的各级各类项目计算分值，对国家社科基金</w:t>
            </w:r>
            <w:proofErr w:type="gramStart"/>
            <w:r w:rsidRPr="00EF0069">
              <w:rPr>
                <w:rFonts w:ascii="宋体" w:eastAsia="宋体" w:hAnsi="宋体" w:cs="宋体"/>
                <w:color w:val="000000"/>
                <w:kern w:val="0"/>
                <w:szCs w:val="21"/>
              </w:rPr>
              <w:t>项目结项优秀</w:t>
            </w:r>
            <w:proofErr w:type="gramEnd"/>
            <w:r w:rsidRPr="00EF0069">
              <w:rPr>
                <w:rFonts w:ascii="宋体" w:eastAsia="宋体" w:hAnsi="宋体" w:cs="宋体"/>
                <w:color w:val="000000"/>
                <w:kern w:val="0"/>
                <w:szCs w:val="21"/>
              </w:rPr>
              <w:t>的，每项加20分。</w:t>
            </w:r>
          </w:p>
        </w:tc>
      </w:tr>
      <w:tr w:rsidR="00EF0069" w:rsidRPr="00EF0069" w:rsidTr="00B430A7">
        <w:trPr>
          <w:trHeight w:val="780"/>
          <w:tblCellSpacing w:w="0" w:type="dxa"/>
        </w:trPr>
        <w:tc>
          <w:tcPr>
            <w:tcW w:w="299"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论文著作</w:t>
            </w: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论文</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权威核心期刊（A\B类）A类权威期刊30分/篇，B类权威期刊25分/篇， 其他CSSCI期刊10分/篇</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450"/>
          <w:tblCellSpacing w:w="0" w:type="dxa"/>
        </w:trPr>
        <w:tc>
          <w:tcPr>
            <w:tcW w:w="299"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著作</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权威出版社30分/部，其他出版社15分/部</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1230"/>
          <w:tblCellSpacing w:w="0" w:type="dxa"/>
        </w:trPr>
        <w:tc>
          <w:tcPr>
            <w:tcW w:w="299"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社 会</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影 响</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新华文摘全文转载30分/篇，摘要1/2以上或1500字以上20分/篇，中国社会科学文摘、高等学校文科学术文摘全文转载20分/篇，人民日报、光明日报头版专论25分/篇，理论版3000字以上15分/篇，中国社会科学报专版刊登或推介，15分/篇，人大复印资料转载,10分/篇</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gridAfter w:val="1"/>
          <w:wAfter w:w="350" w:type="dxa"/>
          <w:trHeight w:val="1230"/>
          <w:tblCellSpacing w:w="0" w:type="dxa"/>
        </w:trPr>
        <w:tc>
          <w:tcPr>
            <w:tcW w:w="7953" w:type="dxa"/>
            <w:gridSpan w:val="4"/>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※本校基地成员所发表的论文或出版的著作，署名能够显示重点研究基地的，按照相应层次分值1.5倍计算；</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※由基地招标项目资助产出的成果或聘请校外研究人员为基地成员产出的成果且署名单位为基地的，按照相应层次计算分值</w:t>
            </w:r>
          </w:p>
        </w:tc>
      </w:tr>
      <w:tr w:rsidR="00EF0069" w:rsidRPr="00EF0069" w:rsidTr="00B430A7">
        <w:trPr>
          <w:trHeight w:val="585"/>
          <w:tblCellSpacing w:w="0" w:type="dxa"/>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科研奖励</w:t>
            </w: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国家级奖</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入选国家哲学社会科学成果文库，35分/部；</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获教育部高等学校科学研究优秀成果奖（人文社科类），50分/项</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105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省部级奖</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proofErr w:type="gramStart"/>
            <w:r w:rsidRPr="00EF0069">
              <w:rPr>
                <w:rFonts w:ascii="宋体" w:eastAsia="宋体" w:hAnsi="宋体" w:cs="宋体"/>
                <w:color w:val="000000"/>
                <w:kern w:val="0"/>
                <w:szCs w:val="21"/>
              </w:rPr>
              <w:t>省哲社成果</w:t>
            </w:r>
            <w:proofErr w:type="gramEnd"/>
            <w:r w:rsidRPr="00EF0069">
              <w:rPr>
                <w:rFonts w:ascii="宋体" w:eastAsia="宋体" w:hAnsi="宋体" w:cs="宋体"/>
                <w:color w:val="000000"/>
                <w:kern w:val="0"/>
                <w:szCs w:val="21"/>
              </w:rPr>
              <w:t>奖一等奖30分/项，二等奖20分/项，三等奖10分/项；</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省科技进步奖一等奖30分/项，二等奖20分/项，三等奖，10分/项；</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省政府发展成果奖一等奖25分/项，二等奖10分/项；</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93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省教育厅人文社科成果奖</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特等奖20分/项，一等奖10分/项</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123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学 术</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荣 誉</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长江学者，60分/人；国家“百千万人才工程”入选者，40分/人；国务院特殊津贴专家，20分/人；中原学者，30分/人；教育部“新世纪优秀人才支持计划”入选者，30分/人；国家级有突出贡献的中青年专家，30分/人；省优秀专家20分/人；省级有突出贡献的中青年专家，20分/人；河南省高校社科优秀学者，20分/人；河南省学术技术带头人，10分/人；高校科技创新人才，10分/人；河南省高校社科年度人物，10分/人</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915"/>
          <w:tblCellSpacing w:w="0" w:type="dxa"/>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社会服务</w:t>
            </w:r>
          </w:p>
        </w:tc>
        <w:tc>
          <w:tcPr>
            <w:tcW w:w="283" w:type="dxa"/>
            <w:vMerge w:val="restart"/>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服务决策</w:t>
            </w:r>
          </w:p>
        </w:tc>
        <w:tc>
          <w:tcPr>
            <w:tcW w:w="6946" w:type="dxa"/>
            <w:vMerge w:val="restart"/>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研究成果得到省委省政府领导批示，30分/份，研究</w:t>
            </w:r>
            <w:proofErr w:type="gramStart"/>
            <w:r w:rsidRPr="00EF0069">
              <w:rPr>
                <w:rFonts w:ascii="宋体" w:eastAsia="宋体" w:hAnsi="宋体" w:cs="宋体"/>
                <w:color w:val="000000"/>
                <w:kern w:val="0"/>
                <w:szCs w:val="21"/>
              </w:rPr>
              <w:t>成果被厅局级</w:t>
            </w:r>
            <w:proofErr w:type="gramEnd"/>
            <w:r w:rsidRPr="00EF0069">
              <w:rPr>
                <w:rFonts w:ascii="宋体" w:eastAsia="宋体" w:hAnsi="宋体" w:cs="宋体"/>
                <w:color w:val="000000"/>
                <w:kern w:val="0"/>
                <w:szCs w:val="21"/>
              </w:rPr>
              <w:t>单位、大中型企业采纳（有正式公文）或得到有关主要领导批示的，15分/份；研究成果被国家社科基金《成果要报》、教育部《专家建议》、省委《政策研究》、教育厅《资政参考》收录，5                                                                                                                                                                                                                                                                                                                                                        分/篇，按教育厅要求及时报送应用类研究报告，2分/篇，最高计6分</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114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6946"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114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xml:space="preserve">服 </w:t>
            </w:r>
            <w:proofErr w:type="gramStart"/>
            <w:r w:rsidRPr="00EF0069">
              <w:rPr>
                <w:rFonts w:ascii="宋体" w:eastAsia="宋体" w:hAnsi="宋体" w:cs="宋体"/>
                <w:color w:val="000000"/>
                <w:kern w:val="0"/>
                <w:szCs w:val="21"/>
              </w:rPr>
              <w:t>务</w:t>
            </w:r>
            <w:proofErr w:type="gramEnd"/>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教 学</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成果被采用为教材且所转化教材获得国家精品教材的，30分/部，获教育部“十二五”规划教材的，10分/部；</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博士毕业论文获全国优秀博士论文，40分/部，获河南省优秀博士论文，20分/部；硕士毕业论文获河南省优秀硕士论文，5分/部</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成果获国家级教学成果奖二等奖以上，20分/项，获省级教学成果奖一等奖15分/项，二等奖10分/项</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1005"/>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社 会</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推 广</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编辑有资政类活页刊物，并分送有关领导和部门，2分/期，最高计24分；</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在中央媒体举行专题讲座，30分/专题；在省级媒体举行专题讲座，10分/专题，在地市级媒体举行专题讲座，5分/专题。在地厅级以上党政机关举行讲座，5分/专题</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900"/>
          <w:tblCellSpacing w:w="0" w:type="dxa"/>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学校支持</w:t>
            </w: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经 费</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投 入</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依托高校每年安排专项经费保证基地的运转需要，并列入学校年度预算，20分；</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另按不</w:t>
            </w:r>
            <w:proofErr w:type="gramStart"/>
            <w:r w:rsidRPr="00EF0069">
              <w:rPr>
                <w:rFonts w:ascii="宋体" w:eastAsia="宋体" w:hAnsi="宋体" w:cs="宋体"/>
                <w:color w:val="000000"/>
                <w:kern w:val="0"/>
                <w:szCs w:val="21"/>
              </w:rPr>
              <w:t>少于省</w:t>
            </w:r>
            <w:proofErr w:type="gramEnd"/>
            <w:r w:rsidRPr="00EF0069">
              <w:rPr>
                <w:rFonts w:ascii="宋体" w:eastAsia="宋体" w:hAnsi="宋体" w:cs="宋体"/>
                <w:color w:val="000000"/>
                <w:kern w:val="0"/>
                <w:szCs w:val="21"/>
              </w:rPr>
              <w:t>财政投入经费1：1的比例进行配套，20分</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trHeight w:val="1140"/>
          <w:tblCellSpacing w:w="0" w:type="dxa"/>
        </w:trPr>
        <w:tc>
          <w:tcPr>
            <w:tcW w:w="299" w:type="dxa"/>
            <w:vMerge/>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jc w:val="left"/>
              <w:rPr>
                <w:rFonts w:ascii="宋体" w:eastAsia="宋体" w:hAnsi="宋体" w:cs="宋体"/>
                <w:color w:val="000000"/>
                <w:kern w:val="0"/>
                <w:szCs w:val="21"/>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xml:space="preserve">基 </w:t>
            </w:r>
            <w:proofErr w:type="gramStart"/>
            <w:r w:rsidRPr="00EF0069">
              <w:rPr>
                <w:rFonts w:ascii="宋体" w:eastAsia="宋体" w:hAnsi="宋体" w:cs="宋体"/>
                <w:color w:val="000000"/>
                <w:kern w:val="0"/>
                <w:szCs w:val="21"/>
              </w:rPr>
              <w:t>础</w:t>
            </w:r>
            <w:proofErr w:type="gramEnd"/>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设 施</w:t>
            </w:r>
          </w:p>
        </w:tc>
        <w:tc>
          <w:tcPr>
            <w:tcW w:w="6946"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科研办公和图书资料用房分别不少于200平米，20分；有能满足科研工作需要的计算机、复印机等办公器材，20分；有满足科研工作需要的专业图书资料，10分。</w:t>
            </w:r>
          </w:p>
        </w:tc>
        <w:tc>
          <w:tcPr>
            <w:tcW w:w="4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rsidTr="00B430A7">
        <w:trPr>
          <w:gridAfter w:val="1"/>
          <w:wAfter w:w="350" w:type="dxa"/>
          <w:trHeight w:val="1140"/>
          <w:tblCellSpacing w:w="0" w:type="dxa"/>
        </w:trPr>
        <w:tc>
          <w:tcPr>
            <w:tcW w:w="7953" w:type="dxa"/>
            <w:gridSpan w:val="4"/>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※其他加分因素：</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1、按照基地成员人数计算平均分后排名，前10名加60分，11-20名加50分，21-30</w:t>
            </w:r>
            <w:r w:rsidRPr="00EF0069">
              <w:rPr>
                <w:rFonts w:ascii="宋体" w:eastAsia="宋体" w:hAnsi="宋体" w:cs="宋体"/>
                <w:color w:val="000000"/>
                <w:kern w:val="0"/>
                <w:szCs w:val="21"/>
              </w:rPr>
              <w:lastRenderedPageBreak/>
              <w:t>名加40分，31-40名加30分，41-50名加20分。</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2、对有重大创新、重大影响且与研究方向一致但考评指标体系中没有涉及的情况，由被考评单位向考评组提出加分建议，考评组讨论通过后提交考评委认可或裁定（累计不能超过30分）。</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3、被考评单位可选择2篇学术价值较高的一般中文期刊文章推荐给考评组，评审组审定后可按</w:t>
            </w:r>
            <w:proofErr w:type="spellStart"/>
            <w:r w:rsidRPr="00EF0069">
              <w:rPr>
                <w:rFonts w:ascii="宋体" w:eastAsia="宋体" w:hAnsi="宋体" w:cs="宋体"/>
                <w:color w:val="000000"/>
                <w:kern w:val="0"/>
                <w:szCs w:val="21"/>
              </w:rPr>
              <w:t>cssci</w:t>
            </w:r>
            <w:proofErr w:type="spellEnd"/>
            <w:r w:rsidRPr="00EF0069">
              <w:rPr>
                <w:rFonts w:ascii="宋体" w:eastAsia="宋体" w:hAnsi="宋体" w:cs="宋体"/>
                <w:color w:val="000000"/>
                <w:kern w:val="0"/>
                <w:szCs w:val="21"/>
              </w:rPr>
              <w:t>期刊对待，可选择1部研究质量特别突出的一般出版社著作推荐给考评组，评审组审定后可按16—30分区间计分</w:t>
            </w:r>
          </w:p>
        </w:tc>
      </w:tr>
    </w:tbl>
    <w:p w:rsidR="00EF0069" w:rsidRPr="00EF0069" w:rsidRDefault="00EF0069" w:rsidP="00EF0069">
      <w:pPr>
        <w:widowControl/>
        <w:spacing w:before="100" w:beforeAutospacing="1" w:after="100" w:afterAutospacing="1"/>
        <w:ind w:left="1155"/>
        <w:jc w:val="left"/>
        <w:rPr>
          <w:rFonts w:ascii="宋体" w:eastAsia="宋体" w:hAnsi="宋体" w:cs="宋体"/>
          <w:color w:val="000000"/>
          <w:kern w:val="0"/>
          <w:szCs w:val="21"/>
        </w:rPr>
      </w:pPr>
      <w:r w:rsidRPr="00EF0069">
        <w:rPr>
          <w:rFonts w:ascii="宋体" w:eastAsia="宋体" w:hAnsi="宋体" w:cs="宋体"/>
          <w:color w:val="000000"/>
          <w:kern w:val="0"/>
          <w:szCs w:val="21"/>
        </w:rPr>
        <w:lastRenderedPageBreak/>
        <w:t>注：1、指标中考察项目、成果、奖励、荣誉称号等均应为2014年度（2014年1月1日-12月31日）基地成员为负责人或第一作者在统计时限内新增获得，且以基地或基地依托高校为第一完成单位，并与基地研究方向一致。</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2、横向项目须出具学校财务提供的收款票据。</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3、社会推广应出具相关凭证。</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FB252B" w:rsidRDefault="00FB252B" w:rsidP="00EF0069">
      <w:pPr>
        <w:widowControl/>
        <w:spacing w:before="100" w:beforeAutospacing="1" w:after="100" w:afterAutospacing="1"/>
        <w:jc w:val="center"/>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center"/>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center"/>
        <w:rPr>
          <w:rFonts w:ascii="宋体" w:eastAsia="宋体" w:hAnsi="宋体" w:cs="宋体" w:hint="eastAsia"/>
          <w:color w:val="000000"/>
          <w:kern w:val="0"/>
          <w:szCs w:val="21"/>
        </w:rPr>
      </w:pP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ind w:left="782"/>
        <w:jc w:val="left"/>
        <w:rPr>
          <w:rFonts w:ascii="宋体" w:eastAsia="宋体" w:hAnsi="宋体" w:cs="宋体"/>
          <w:color w:val="000000"/>
          <w:kern w:val="0"/>
          <w:szCs w:val="21"/>
        </w:rPr>
      </w:pPr>
      <w:r w:rsidRPr="00EF0069">
        <w:rPr>
          <w:rFonts w:ascii="宋体" w:eastAsia="宋体" w:hAnsi="宋体" w:cs="宋体"/>
          <w:color w:val="000000"/>
          <w:kern w:val="0"/>
          <w:szCs w:val="21"/>
        </w:rPr>
        <w:lastRenderedPageBreak/>
        <w:t> </w:t>
      </w:r>
    </w:p>
    <w:p w:rsidR="00EF0069" w:rsidRPr="00EF0069" w:rsidRDefault="00EF0069" w:rsidP="00EF0069">
      <w:pPr>
        <w:widowControl/>
        <w:spacing w:before="100" w:beforeAutospacing="1" w:after="100" w:afterAutospacing="1"/>
        <w:ind w:left="782"/>
        <w:jc w:val="left"/>
        <w:rPr>
          <w:rFonts w:ascii="宋体" w:eastAsia="宋体" w:hAnsi="宋体" w:cs="宋体"/>
          <w:color w:val="000000"/>
          <w:kern w:val="0"/>
          <w:szCs w:val="21"/>
        </w:rPr>
      </w:pPr>
      <w:r w:rsidRPr="00EF0069">
        <w:rPr>
          <w:rFonts w:ascii="宋体" w:eastAsia="宋体" w:hAnsi="宋体" w:cs="宋体"/>
          <w:b/>
          <w:bCs/>
          <w:color w:val="000000"/>
          <w:kern w:val="0"/>
        </w:rPr>
        <w:t>附件2</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证明材料目录</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1、承担各级各类项目的立项文件，横向项目须出具学校财务提供的收款票据</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2、在各级各类期刊上发的论文（封皮、目录和文章）</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3、在有关出版社出版的专著（封皮、版权页和摘要）</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4、获得的各级各类奖励证书</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5、获得的各种学术荣誉证书或文件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6、研究成果被有关单位采纳的证明（文件、批示或有关资政    类刊物）</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7、由研究成果转化形成的教材（封皮、版权页和摘要）</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8、由基地成员指导而完成的各类优秀博硕论文（论文和表彰文件）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9、基地所编发的资政类刊物（原件）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10、在有关媒体、机关举办专题讲座的录像光盘或聘请合同</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12、学校对基地建设给予经费支持的相关文件或财务凭证</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13、其他佐证材料</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Default="00EF0069" w:rsidP="00EF0069">
      <w:pPr>
        <w:widowControl/>
        <w:spacing w:before="100" w:beforeAutospacing="1" w:after="100" w:afterAutospacing="1"/>
        <w:jc w:val="left"/>
        <w:rPr>
          <w:rFonts w:ascii="宋体" w:eastAsia="宋体" w:hAnsi="宋体" w:cs="宋体" w:hint="eastAsia"/>
          <w:color w:val="000000"/>
          <w:kern w:val="0"/>
          <w:szCs w:val="21"/>
        </w:rPr>
      </w:pPr>
      <w:r w:rsidRPr="00EF0069">
        <w:rPr>
          <w:rFonts w:ascii="宋体" w:eastAsia="宋体" w:hAnsi="宋体" w:cs="宋体"/>
          <w:color w:val="000000"/>
          <w:kern w:val="0"/>
          <w:szCs w:val="21"/>
        </w:rPr>
        <w:t> </w:t>
      </w: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Pr="00EF0069" w:rsidRDefault="00FB252B" w:rsidP="00EF0069">
      <w:pPr>
        <w:widowControl/>
        <w:spacing w:before="100" w:beforeAutospacing="1" w:after="100" w:afterAutospacing="1"/>
        <w:jc w:val="left"/>
        <w:rPr>
          <w:rFonts w:ascii="宋体" w:eastAsia="宋体" w:hAnsi="宋体" w:cs="宋体"/>
          <w:color w:val="000000"/>
          <w:kern w:val="0"/>
          <w:szCs w:val="21"/>
        </w:rPr>
      </w:pP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lastRenderedPageBreak/>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A类权威期刊目录</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管理世界         南开管理评论</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马克思主义研究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哲学研究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世界宗教研究          </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中国语文</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外语教学与研究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外国文学评论</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文学评论         文学遗产</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文艺研究         音乐研究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历史研究         近代史研究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考古学报</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经济研究         经济学     世界经济 </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政治学研究       世界经济与政治</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中国法学         法学研究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社会学研究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民族研究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新闻与传播研究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中国图书馆学报  大学图书馆学报 </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教育研究        北京大学教育评论</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体育科学</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lastRenderedPageBreak/>
        <w:t>统计研究</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心理学报</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经济地理        </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中国人口·资源与环境</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中国社会科学     开放时代</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中国人民大学学报</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北京大学学报(哲学社会科学版)</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浙江大学学报(人文社会科学版)</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华中师范大学学报(人文社会科学版)</w:t>
      </w:r>
    </w:p>
    <w:p w:rsidR="00EF0069" w:rsidRPr="00EF0069" w:rsidRDefault="00EF0069" w:rsidP="00EF0069">
      <w:pPr>
        <w:widowControl/>
        <w:spacing w:before="100" w:beforeAutospacing="1" w:after="100" w:afterAutospacing="1"/>
        <w:ind w:left="601"/>
        <w:jc w:val="left"/>
        <w:rPr>
          <w:rFonts w:ascii="宋体" w:eastAsia="宋体" w:hAnsi="宋体" w:cs="宋体"/>
          <w:color w:val="000000"/>
          <w:kern w:val="0"/>
          <w:szCs w:val="21"/>
        </w:rPr>
      </w:pPr>
      <w:r w:rsidRPr="00EF0069">
        <w:rPr>
          <w:rFonts w:ascii="宋体" w:eastAsia="宋体" w:hAnsi="宋体" w:cs="宋体"/>
          <w:color w:val="000000"/>
          <w:kern w:val="0"/>
          <w:szCs w:val="21"/>
        </w:rPr>
        <w:t>清华大学学报（社会科学版）</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FB252B" w:rsidRDefault="00FB252B" w:rsidP="00EF0069">
      <w:pPr>
        <w:widowControl/>
        <w:spacing w:before="100" w:beforeAutospacing="1" w:after="100" w:afterAutospacing="1"/>
        <w:jc w:val="center"/>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center"/>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center"/>
        <w:rPr>
          <w:rFonts w:ascii="宋体" w:eastAsia="宋体" w:hAnsi="宋体" w:cs="宋体" w:hint="eastAsia"/>
          <w:color w:val="000000"/>
          <w:kern w:val="0"/>
          <w:szCs w:val="21"/>
        </w:rPr>
      </w:pP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lastRenderedPageBreak/>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B类权威期刊目录</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30"/>
        <w:gridCol w:w="5806"/>
      </w:tblGrid>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学  科</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权威核心期刊</w:t>
            </w:r>
          </w:p>
        </w:tc>
      </w:tr>
      <w:tr w:rsidR="00EF0069" w:rsidRPr="00EF0069" w:rsidTr="00EF0069">
        <w:trPr>
          <w:trHeight w:val="1230"/>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管理学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科研管理</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科学学研究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中国行政管理</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中国软科学</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管理学报</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马克思主义</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马克思主义与现实</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教学与研究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中共党史研究</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哲学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哲学动态</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自然辩证法研究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道德与文明</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宗教学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宗教学研究</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语言学汉语类</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世界汉语教学</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当代语言学</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语言学外语类</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外国语</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现代外语</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中国翻译</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语言学</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中国少数民族语言文字类</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民族语文</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外国文学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外国文学研究</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中国文学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文艺理论研究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文艺理论与批评</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中国现代文学研究丛刊</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lastRenderedPageBreak/>
              <w:t>艺术学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中央音乐学院学报</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中国音乐</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美术研究</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历史学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中国史研究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当代中国史研究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世界历史</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中国农史</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史学理论研究</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考古学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文物</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考古</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经济学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中国工业经济</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金融研究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数量经济技术经济研究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会计研究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中国农村经济</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经济科学</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财贸经济</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南开经济研究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世界经济研究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审计研究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经济学动态</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政治学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当代亚太</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国际观察</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国际政治研究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现代国际关系</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lastRenderedPageBreak/>
              <w:t>中共党史研究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国际问题研究</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lastRenderedPageBreak/>
              <w:t>法学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法商研究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中外法学</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清华法学</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法学家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政法论坛</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法学</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社会学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中国人口科学</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人口研究</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民族学与文化学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世界民族</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民俗研究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文化遗产</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中央民族大学学报</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新闻学与传播学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编辑学报</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现代传播</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出版发行研究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国际新闻界</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图书馆、情报与文献学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国家图书馆学刊</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档案学研究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图书情报工作</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教育学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清华大学教育研究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高等教育研究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比较教育研究</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华东师范大学学报（教科版）</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课程.教材.教法</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lastRenderedPageBreak/>
              <w:t>体育学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上海体育学院学报</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统计学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数理统计与管理</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心理学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心理发展与教育</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人文、经济地理</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旅游学刊</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城市规划学刊</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环境科学</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资源科学</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综合性社科期刊</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学术月刊</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文史</w:t>
            </w:r>
            <w:proofErr w:type="gramStart"/>
            <w:r w:rsidRPr="00EF0069">
              <w:rPr>
                <w:rFonts w:ascii="宋体" w:eastAsia="宋体" w:hAnsi="宋体" w:cs="宋体"/>
                <w:color w:val="000000"/>
                <w:kern w:val="0"/>
                <w:szCs w:val="21"/>
              </w:rPr>
              <w:t>哲</w:t>
            </w:r>
            <w:proofErr w:type="gramEnd"/>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社会科学</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读书</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国外社会科学</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中国社科院研究生院学报</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高校社科类学报</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北京师范大学学报（社会科学版）</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南京大学学报(哲学·人文科学·社会科学版)</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中山大学学报(社会科学版)</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吉林大学社会科学学报</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复旦学报（社会科学版）</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武汉大学学报（社会科学版）</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上海师范大学学报（哲学社会科学版）</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厦门大学学报（社会科学版）</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湖南师范大学社会科学学报</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四川大学学报（哲学社会科学版）</w:t>
            </w:r>
          </w:p>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南开学报(哲学社会科学版)</w:t>
            </w:r>
          </w:p>
        </w:tc>
      </w:tr>
      <w:tr w:rsidR="00EF0069" w:rsidRPr="00EF0069" w:rsidTr="00EF0069">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外文期刊</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ind w:left="1022"/>
              <w:jc w:val="center"/>
              <w:rPr>
                <w:rFonts w:ascii="宋体" w:eastAsia="宋体" w:hAnsi="宋体" w:cs="宋体"/>
                <w:color w:val="000000"/>
                <w:kern w:val="0"/>
                <w:szCs w:val="21"/>
              </w:rPr>
            </w:pPr>
            <w:r w:rsidRPr="00EF0069">
              <w:rPr>
                <w:rFonts w:ascii="宋体" w:eastAsia="宋体" w:hAnsi="宋体" w:cs="宋体"/>
                <w:color w:val="000000"/>
                <w:kern w:val="0"/>
                <w:szCs w:val="21"/>
              </w:rPr>
              <w:t>SSCI、A&amp;HCI收录期刊</w:t>
            </w:r>
          </w:p>
        </w:tc>
      </w:tr>
    </w:tbl>
    <w:p w:rsidR="00EF0069" w:rsidRPr="00EF0069" w:rsidRDefault="00EF0069" w:rsidP="00EF0069">
      <w:pPr>
        <w:widowControl/>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lastRenderedPageBreak/>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权威出版社目录</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  商务印书馆</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  中华书局</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3.  人民出版社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4.  外语教学与研究出版社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5.  上海古籍出版社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6.  文物出版社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7.  科学出版社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8.  高等教育出版社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9.  中国大百科全书出版社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10．中国社会科学出版社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11．人民文学出版社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12．中央文献出版社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13．人民美术出版社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14．人民音乐出版社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15．中国农业出版社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16．中国科学技术出版社（</w:t>
      </w:r>
      <w:proofErr w:type="gramStart"/>
      <w:r w:rsidRPr="00EF0069">
        <w:rPr>
          <w:rFonts w:ascii="宋体" w:eastAsia="宋体" w:hAnsi="宋体" w:cs="宋体"/>
          <w:color w:val="000000"/>
          <w:kern w:val="0"/>
          <w:szCs w:val="21"/>
        </w:rPr>
        <w:t>含科学</w:t>
      </w:r>
      <w:proofErr w:type="gramEnd"/>
      <w:r w:rsidRPr="00EF0069">
        <w:rPr>
          <w:rFonts w:ascii="宋体" w:eastAsia="宋体" w:hAnsi="宋体" w:cs="宋体"/>
          <w:color w:val="000000"/>
          <w:kern w:val="0"/>
          <w:szCs w:val="21"/>
        </w:rPr>
        <w:t>普及出版社）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17．人民教育出版社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18．上海外语教育出版社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19．人民体育出版社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20．法律出版社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lastRenderedPageBreak/>
        <w:t>21．中国经济出版社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22．社会科学文献出版社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23. 教育科学出版社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24. 中国环境科学出版社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25. 中国中医药出版社</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26. 读书生活新知三联书店</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27. 河南省教育厅哲学社会科学研究优秀著作资助项目（卓越文库收录）</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FB252B" w:rsidRDefault="00FB252B" w:rsidP="00EF0069">
      <w:pPr>
        <w:widowControl/>
        <w:spacing w:before="100" w:beforeAutospacing="1" w:after="100" w:afterAutospacing="1"/>
        <w:jc w:val="left"/>
        <w:rPr>
          <w:rFonts w:ascii="宋体" w:eastAsia="宋体" w:hAnsi="宋体" w:cs="宋体" w:hint="eastAsia"/>
          <w:color w:val="000000"/>
          <w:kern w:val="0"/>
          <w:szCs w:val="21"/>
        </w:rPr>
      </w:pP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lastRenderedPageBreak/>
        <w:br w:type="textWrapping" w:clear="all"/>
        <w:t> </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2014年度高校人文社科重点研究基地考评会议</w:t>
      </w:r>
    </w:p>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报 名 回 执</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所在学校：</w:t>
      </w:r>
    </w:p>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6"/>
        <w:gridCol w:w="3943"/>
        <w:gridCol w:w="2877"/>
      </w:tblGrid>
      <w:tr w:rsidR="00EF0069" w:rsidRPr="00EF0069">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姓  名</w:t>
            </w:r>
          </w:p>
        </w:tc>
        <w:tc>
          <w:tcPr>
            <w:tcW w:w="718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基地名称</w:t>
            </w:r>
          </w:p>
        </w:tc>
        <w:tc>
          <w:tcPr>
            <w:tcW w:w="47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center"/>
              <w:rPr>
                <w:rFonts w:ascii="宋体" w:eastAsia="宋体" w:hAnsi="宋体" w:cs="宋体"/>
                <w:color w:val="000000"/>
                <w:kern w:val="0"/>
                <w:szCs w:val="21"/>
              </w:rPr>
            </w:pPr>
            <w:r w:rsidRPr="00EF0069">
              <w:rPr>
                <w:rFonts w:ascii="宋体" w:eastAsia="宋体" w:hAnsi="宋体" w:cs="宋体"/>
                <w:color w:val="000000"/>
                <w:kern w:val="0"/>
                <w:szCs w:val="21"/>
              </w:rPr>
              <w:t>手   机</w:t>
            </w:r>
          </w:p>
        </w:tc>
      </w:tr>
      <w:tr w:rsidR="00EF0069" w:rsidRPr="00EF0069">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718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47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718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47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718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47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718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47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r w:rsidR="00EF0069" w:rsidRPr="00EF0069">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718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c>
          <w:tcPr>
            <w:tcW w:w="4725" w:type="dxa"/>
            <w:tcBorders>
              <w:top w:val="outset" w:sz="6" w:space="0" w:color="auto"/>
              <w:left w:val="outset" w:sz="6" w:space="0" w:color="auto"/>
              <w:bottom w:val="outset" w:sz="6" w:space="0" w:color="auto"/>
              <w:right w:val="outset" w:sz="6" w:space="0" w:color="auto"/>
            </w:tcBorders>
            <w:vAlign w:val="center"/>
            <w:hideMark/>
          </w:tcPr>
          <w:p w:rsidR="00EF0069" w:rsidRPr="00EF0069" w:rsidRDefault="00EF0069" w:rsidP="00EF0069">
            <w:pPr>
              <w:widowControl/>
              <w:spacing w:before="100" w:beforeAutospacing="1" w:after="100" w:afterAutospacing="1"/>
              <w:jc w:val="left"/>
              <w:rPr>
                <w:rFonts w:ascii="宋体" w:eastAsia="宋体" w:hAnsi="宋体" w:cs="宋体"/>
                <w:color w:val="000000"/>
                <w:kern w:val="0"/>
                <w:szCs w:val="21"/>
              </w:rPr>
            </w:pPr>
            <w:r w:rsidRPr="00EF0069">
              <w:rPr>
                <w:rFonts w:ascii="宋体" w:eastAsia="宋体" w:hAnsi="宋体" w:cs="宋体"/>
                <w:color w:val="000000"/>
                <w:kern w:val="0"/>
                <w:szCs w:val="21"/>
              </w:rPr>
              <w:t> </w:t>
            </w:r>
          </w:p>
        </w:tc>
      </w:tr>
    </w:tbl>
    <w:p w:rsidR="00B13BA6" w:rsidRDefault="00B13BA6"/>
    <w:sectPr w:rsidR="00B13B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069"/>
    <w:rsid w:val="00B13BA6"/>
    <w:rsid w:val="00B430A7"/>
    <w:rsid w:val="00EF0069"/>
    <w:rsid w:val="00FB25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00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0069"/>
    <w:rPr>
      <w:b/>
      <w:bCs/>
    </w:rPr>
  </w:style>
</w:styles>
</file>

<file path=word/webSettings.xml><?xml version="1.0" encoding="utf-8"?>
<w:webSettings xmlns:r="http://schemas.openxmlformats.org/officeDocument/2006/relationships" xmlns:w="http://schemas.openxmlformats.org/wordprocessingml/2006/main">
  <w:divs>
    <w:div w:id="1766533914">
      <w:bodyDiv w:val="1"/>
      <w:marLeft w:val="0"/>
      <w:marRight w:val="0"/>
      <w:marTop w:val="0"/>
      <w:marBottom w:val="0"/>
      <w:divBdr>
        <w:top w:val="none" w:sz="0" w:space="0" w:color="auto"/>
        <w:left w:val="none" w:sz="0" w:space="0" w:color="auto"/>
        <w:bottom w:val="none" w:sz="0" w:space="0" w:color="auto"/>
        <w:right w:val="none" w:sz="0" w:space="0" w:color="auto"/>
      </w:divBdr>
      <w:divsChild>
        <w:div w:id="1256010501">
          <w:marLeft w:val="0"/>
          <w:marRight w:val="0"/>
          <w:marTop w:val="0"/>
          <w:marBottom w:val="0"/>
          <w:divBdr>
            <w:top w:val="none" w:sz="0" w:space="0" w:color="auto"/>
            <w:left w:val="none" w:sz="0" w:space="0" w:color="auto"/>
            <w:bottom w:val="none" w:sz="0" w:space="0" w:color="auto"/>
            <w:right w:val="none" w:sz="0" w:space="0" w:color="auto"/>
          </w:divBdr>
          <w:divsChild>
            <w:div w:id="18439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751</Words>
  <Characters>4281</Characters>
  <Application>Microsoft Office Word</Application>
  <DocSecurity>0</DocSecurity>
  <Lines>35</Lines>
  <Paragraphs>10</Paragraphs>
  <ScaleCrop>false</ScaleCrop>
  <Company>n</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2009-06-08T03:43:00Z</dcterms:created>
  <dcterms:modified xsi:type="dcterms:W3CDTF">2009-06-08T03:45:00Z</dcterms:modified>
</cp:coreProperties>
</file>