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_GB2312" w:hAnsi="仿宋_GB2312" w:eastAsia="仿宋_GB2312"/>
          <w:b/>
          <w:color w:val="auto"/>
          <w:highlight w:val="none"/>
        </w:rPr>
      </w:pPr>
      <w:r>
        <w:rPr>
          <w:rFonts w:hint="eastAsia" w:ascii="仿宋_GB2312" w:hAnsi="仿宋_GB2312" w:eastAsia="仿宋_GB2312"/>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130810</wp:posOffset>
                </wp:positionV>
                <wp:extent cx="1000125" cy="398145"/>
                <wp:effectExtent l="0" t="0" r="9525" b="1905"/>
                <wp:wrapSquare wrapText="bothSides"/>
                <wp:docPr id="2" name="矩形 3"/>
                <wp:cNvGraphicFramePr/>
                <a:graphic xmlns:a="http://schemas.openxmlformats.org/drawingml/2006/main">
                  <a:graphicData uri="http://schemas.microsoft.com/office/word/2010/wordprocessingShape">
                    <wps:wsp>
                      <wps:cNvSpPr/>
                      <wps:spPr>
                        <a:xfrm>
                          <a:off x="0" y="0"/>
                          <a:ext cx="1000125" cy="398145"/>
                        </a:xfrm>
                        <a:prstGeom prst="rect">
                          <a:avLst/>
                        </a:prstGeom>
                        <a:solidFill>
                          <a:srgbClr val="FFFFFF"/>
                        </a:solidFill>
                        <a:ln>
                          <a:noFill/>
                        </a:ln>
                      </wps:spPr>
                      <wps:txbx>
                        <w:txbxContent>
                          <w:p>
                            <w:pPr>
                              <w:snapToGrid w:val="0"/>
                              <w:rPr>
                                <w:rFonts w:hint="eastAsia" w:ascii="仿宋_GB2312" w:eastAsia="仿宋_GB2312"/>
                              </w:rPr>
                            </w:pPr>
                            <w:r>
                              <w:rPr>
                                <w:rFonts w:hint="eastAsia" w:ascii="仿宋_GB2312" w:eastAsia="仿宋_GB2312"/>
                                <w:b/>
                                <w:sz w:val="28"/>
                              </w:rPr>
                              <w:t>鑫诚招标</w:t>
                            </w:r>
                          </w:p>
                        </w:txbxContent>
                      </wps:txbx>
                      <wps:bodyPr wrap="square" upright="1"/>
                    </wps:wsp>
                  </a:graphicData>
                </a:graphic>
              </wp:anchor>
            </w:drawing>
          </mc:Choice>
          <mc:Fallback>
            <w:pict>
              <v:rect id="矩形 3" o:spid="_x0000_s1026" o:spt="1" style="position:absolute;left:0pt;margin-left:39.75pt;margin-top:10.3pt;height:31.35pt;width:78.75pt;mso-wrap-distance-bottom:0pt;mso-wrap-distance-left:9pt;mso-wrap-distance-right:9pt;mso-wrap-distance-top:0pt;z-index:251659264;mso-width-relative:page;mso-height-relative:page;" fillcolor="#FFFFFF" filled="t" stroked="f" coordsize="21600,21600" o:gfxdata="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Ev7mitcAAAAIAQAADwAA&#10;AAAAAAABACAAAAAiAAAAZHJzL2Rvd25yZXYueG1sUEsBAhQAFAAAAAgAh07iQMpwALilAQAAKgMA&#10;AA4AAAAAAAAAAQAgAAAAJgEAAGRycy9lMm9Eb2MueG1sUEsFBgAAAAAGAAYAWQEAAD0FAAAAAA==&#10;">
                <v:fill on="t" focussize="0,0"/>
                <v:stroke on="f"/>
                <v:imagedata o:title=""/>
                <o:lock v:ext="edit" aspectratio="f"/>
                <v:textbox>
                  <w:txbxContent>
                    <w:p>
                      <w:pPr>
                        <w:snapToGrid w:val="0"/>
                        <w:rPr>
                          <w:rFonts w:hint="eastAsia" w:ascii="仿宋_GB2312" w:eastAsia="仿宋_GB2312"/>
                        </w:rPr>
                      </w:pPr>
                      <w:r>
                        <w:rPr>
                          <w:rFonts w:hint="eastAsia" w:ascii="仿宋_GB2312" w:eastAsia="仿宋_GB2312"/>
                          <w:b/>
                          <w:sz w:val="28"/>
                        </w:rPr>
                        <w:t>鑫诚招标</w:t>
                      </w:r>
                    </w:p>
                  </w:txbxContent>
                </v:textbox>
                <w10:wrap type="square"/>
              </v:rect>
            </w:pict>
          </mc:Fallback>
        </mc:AlternateContent>
      </w:r>
    </w:p>
    <w:p>
      <w:pPr>
        <w:autoSpaceDE w:val="0"/>
        <w:autoSpaceDN w:val="0"/>
        <w:snapToGrid w:val="0"/>
        <w:spacing w:line="1000" w:lineRule="exact"/>
        <w:jc w:val="center"/>
        <w:rPr>
          <w:rFonts w:hint="eastAsia" w:ascii="仿宋_GB2312" w:hAnsi="仿宋_GB2312" w:eastAsia="仿宋_GB2312"/>
          <w:b/>
          <w:color w:val="auto"/>
          <w:highlight w:val="none"/>
        </w:rPr>
      </w:pPr>
      <w:r>
        <w:rPr>
          <w:rFonts w:hint="eastAsia" w:ascii="仿宋_GB2312" w:hAnsi="仿宋_GB2312" w:eastAsia="仿宋_GB2312"/>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298450</wp:posOffset>
                </wp:positionV>
                <wp:extent cx="1976755" cy="414020"/>
                <wp:effectExtent l="0" t="0" r="4445" b="5080"/>
                <wp:wrapNone/>
                <wp:docPr id="3" name="矩形 4"/>
                <wp:cNvGraphicFramePr/>
                <a:graphic xmlns:a="http://schemas.openxmlformats.org/drawingml/2006/main">
                  <a:graphicData uri="http://schemas.microsoft.com/office/word/2010/wordprocessingShape">
                    <wps:wsp>
                      <wps:cNvSpPr/>
                      <wps:spPr>
                        <a:xfrm>
                          <a:off x="0" y="0"/>
                          <a:ext cx="1976755" cy="414020"/>
                        </a:xfrm>
                        <a:prstGeom prst="rect">
                          <a:avLst/>
                        </a:prstGeom>
                        <a:solidFill>
                          <a:srgbClr val="FFFFFF"/>
                        </a:solidFill>
                        <a:ln>
                          <a:noFill/>
                        </a:ln>
                      </wps:spPr>
                      <wps:txbx>
                        <w:txbxContent>
                          <w:p>
                            <w:pPr>
                              <w:snapToGrid w:val="0"/>
                              <w:rPr>
                                <w:rFonts w:hint="eastAsia" w:ascii="仿宋_GB2312" w:eastAsia="仿宋_GB2312"/>
                              </w:rPr>
                            </w:pPr>
                            <w:r>
                              <w:rPr>
                                <w:rFonts w:hint="eastAsia" w:ascii="仿宋_GB2312" w:eastAsia="仿宋_GB2312"/>
                                <w:b/>
                              </w:rPr>
                              <w:t>http://www.xcgcgl.cn</w:t>
                            </w:r>
                          </w:p>
                        </w:txbxContent>
                      </wps:txbx>
                      <wps:bodyPr wrap="square" upright="1"/>
                    </wps:wsp>
                  </a:graphicData>
                </a:graphic>
              </wp:anchor>
            </w:drawing>
          </mc:Choice>
          <mc:Fallback>
            <w:pict>
              <v:rect id="矩形 4" o:spid="_x0000_s1026" o:spt="1" style="position:absolute;left:0pt;margin-left:-132.1pt;margin-top:23.5pt;height:32.6pt;width:155.65pt;z-index:251660288;mso-width-relative:page;mso-height-relative:page;" fillcolor="#FFFFFF" filled="t" stroked="f" coordsize="21600,21600" o:gfxdata="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VuibQ2AAAAAoBAAAP&#10;AAAAAAAAAAEAIAAAACIAAABkcnMvZG93bnJldi54bWxQSwECFAAUAAAACACHTuJAWp/RKaYBAAAq&#10;AwAADgAAAAAAAAABACAAAAAnAQAAZHJzL2Uyb0RvYy54bWxQSwUGAAAAAAYABgBZAQAAPwUAAAAA&#10;">
                <v:fill on="t" focussize="0,0"/>
                <v:stroke on="f"/>
                <v:imagedata o:title=""/>
                <o:lock v:ext="edit" aspectratio="f"/>
                <v:textbox>
                  <w:txbxContent>
                    <w:p>
                      <w:pPr>
                        <w:snapToGrid w:val="0"/>
                        <w:rPr>
                          <w:rFonts w:hint="eastAsia" w:ascii="仿宋_GB2312" w:eastAsia="仿宋_GB2312"/>
                        </w:rPr>
                      </w:pPr>
                      <w:r>
                        <w:rPr>
                          <w:rFonts w:hint="eastAsia" w:ascii="仿宋_GB2312" w:eastAsia="仿宋_GB2312"/>
                          <w:b/>
                        </w:rPr>
                        <w:t>http://www.xcgcgl.cn</w:t>
                      </w:r>
                    </w:p>
                  </w:txbxContent>
                </v:textbox>
              </v:rect>
            </w:pict>
          </mc:Fallback>
        </mc:AlternateContent>
      </w:r>
      <w:r>
        <w:rPr>
          <w:rFonts w:hint="eastAsia" w:ascii="仿宋_GB2312" w:hAnsi="仿宋_GB2312" w:eastAsia="仿宋_GB2312"/>
          <w:b/>
          <w:color w:val="auto"/>
          <w:highlight w:val="none"/>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442595" cy="265430"/>
            <wp:effectExtent l="0" t="0" r="14605" b="1270"/>
            <wp:wrapSquare wrapText="bothSides"/>
            <wp:docPr id="1" name="图片 2" descr="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标"/>
                    <pic:cNvPicPr>
                      <a:picLocks noChangeAspect="1"/>
                    </pic:cNvPicPr>
                  </pic:nvPicPr>
                  <pic:blipFill>
                    <a:blip r:embed="rId15">
                      <a:lum contrast="42157"/>
                    </a:blip>
                    <a:stretch>
                      <a:fillRect/>
                    </a:stretch>
                  </pic:blipFill>
                  <pic:spPr>
                    <a:xfrm>
                      <a:off x="0" y="0"/>
                      <a:ext cx="442595" cy="265430"/>
                    </a:xfrm>
                    <a:prstGeom prst="rect">
                      <a:avLst/>
                    </a:prstGeom>
                    <a:noFill/>
                    <a:ln>
                      <a:noFill/>
                    </a:ln>
                  </pic:spPr>
                </pic:pic>
              </a:graphicData>
            </a:graphic>
          </wp:anchor>
        </w:drawing>
      </w:r>
    </w:p>
    <w:p>
      <w:pPr>
        <w:snapToGrid w:val="0"/>
        <w:spacing w:line="1000" w:lineRule="exact"/>
        <w:jc w:val="center"/>
        <w:rPr>
          <w:rFonts w:hint="eastAsia" w:ascii="仿宋_GB2312" w:hAnsi="仿宋_GB2312" w:eastAsia="仿宋_GB2312"/>
          <w:b/>
          <w:color w:val="auto"/>
          <w:highlight w:val="none"/>
        </w:rPr>
      </w:pPr>
    </w:p>
    <w:p>
      <w:pPr>
        <w:snapToGrid w:val="0"/>
        <w:jc w:val="center"/>
        <w:rPr>
          <w:rFonts w:hint="eastAsia" w:ascii="仿宋_GB2312" w:hAnsi="仿宋_GB2312" w:eastAsia="仿宋_GB2312"/>
          <w:b/>
          <w:color w:val="auto"/>
          <w:sz w:val="52"/>
          <w:szCs w:val="52"/>
          <w:highlight w:val="none"/>
        </w:rPr>
      </w:pPr>
      <w:r>
        <w:rPr>
          <w:rFonts w:hint="eastAsia" w:ascii="仿宋_GB2312" w:hAnsi="仿宋_GB2312" w:eastAsia="仿宋_GB2312"/>
          <w:b/>
          <w:color w:val="auto"/>
          <w:sz w:val="52"/>
          <w:szCs w:val="52"/>
          <w:highlight w:val="none"/>
        </w:rPr>
        <w:t>华北水利水电大学（花园校区）增容</w:t>
      </w:r>
    </w:p>
    <w:p>
      <w:pPr>
        <w:snapToGrid w:val="0"/>
        <w:jc w:val="center"/>
        <w:rPr>
          <w:rFonts w:hint="eastAsia" w:ascii="仿宋_GB2312" w:hAnsi="仿宋_GB2312" w:eastAsia="仿宋_GB2312"/>
          <w:b/>
          <w:color w:val="auto"/>
          <w:sz w:val="52"/>
          <w:szCs w:val="52"/>
          <w:highlight w:val="none"/>
          <w:lang w:val="en-US" w:eastAsia="zh-CN"/>
        </w:rPr>
      </w:pPr>
      <w:r>
        <w:rPr>
          <w:rFonts w:hint="eastAsia" w:ascii="仿宋_GB2312" w:hAnsi="仿宋_GB2312" w:eastAsia="仿宋_GB2312"/>
          <w:b/>
          <w:color w:val="auto"/>
          <w:sz w:val="52"/>
          <w:szCs w:val="52"/>
          <w:highlight w:val="none"/>
        </w:rPr>
        <w:t>供配电工程</w:t>
      </w:r>
      <w:r>
        <w:rPr>
          <w:rFonts w:hint="eastAsia" w:ascii="仿宋_GB2312" w:hAnsi="仿宋_GB2312" w:eastAsia="仿宋_GB2312"/>
          <w:b/>
          <w:color w:val="auto"/>
          <w:sz w:val="52"/>
          <w:szCs w:val="52"/>
          <w:highlight w:val="none"/>
          <w:lang w:eastAsia="zh-CN"/>
        </w:rPr>
        <w:t>项目</w:t>
      </w:r>
    </w:p>
    <w:p>
      <w:pPr>
        <w:pStyle w:val="2"/>
        <w:ind w:left="480" w:firstLine="1044"/>
        <w:rPr>
          <w:rFonts w:hint="eastAsia" w:ascii="仿宋_GB2312" w:hAnsi="仿宋_GB2312" w:eastAsia="仿宋_GB2312"/>
          <w:b/>
          <w:color w:val="auto"/>
          <w:sz w:val="52"/>
          <w:szCs w:val="52"/>
          <w:highlight w:val="none"/>
        </w:rPr>
      </w:pPr>
    </w:p>
    <w:p>
      <w:pPr>
        <w:pStyle w:val="2"/>
        <w:ind w:left="480" w:firstLine="1044"/>
        <w:rPr>
          <w:rFonts w:hint="eastAsia" w:ascii="仿宋_GB2312" w:hAnsi="仿宋_GB2312" w:eastAsia="仿宋_GB2312"/>
          <w:b/>
          <w:color w:val="auto"/>
          <w:sz w:val="52"/>
          <w:szCs w:val="52"/>
          <w:highlight w:val="none"/>
        </w:rPr>
      </w:pPr>
    </w:p>
    <w:p>
      <w:pPr>
        <w:pStyle w:val="2"/>
        <w:ind w:left="480" w:firstLine="1044"/>
        <w:rPr>
          <w:rFonts w:hint="eastAsia" w:ascii="仿宋_GB2312" w:hAnsi="仿宋_GB2312" w:eastAsia="仿宋_GB2312"/>
          <w:b/>
          <w:color w:val="auto"/>
          <w:sz w:val="52"/>
          <w:szCs w:val="52"/>
          <w:highlight w:val="none"/>
        </w:rPr>
      </w:pPr>
    </w:p>
    <w:p>
      <w:pPr>
        <w:snapToGrid w:val="0"/>
        <w:jc w:val="center"/>
        <w:rPr>
          <w:rFonts w:hint="eastAsia" w:ascii="仿宋_GB2312" w:hAnsi="仿宋_GB2312" w:eastAsia="仿宋_GB2312"/>
          <w:b/>
          <w:color w:val="auto"/>
          <w:sz w:val="84"/>
          <w:highlight w:val="none"/>
        </w:rPr>
      </w:pPr>
      <w:r>
        <w:rPr>
          <w:rFonts w:hint="eastAsia" w:ascii="仿宋_GB2312" w:hAnsi="仿宋_GB2312" w:eastAsia="仿宋_GB2312"/>
          <w:b/>
          <w:color w:val="auto"/>
          <w:sz w:val="84"/>
          <w:highlight w:val="none"/>
        </w:rPr>
        <w:t>招 标 文 件</w:t>
      </w:r>
    </w:p>
    <w:p>
      <w:pPr>
        <w:snapToGrid w:val="0"/>
        <w:jc w:val="center"/>
        <w:rPr>
          <w:rFonts w:hint="eastAsia" w:ascii="仿宋_GB2312" w:hAnsi="仿宋_GB2312" w:eastAsia="仿宋_GB2312"/>
          <w:color w:val="auto"/>
          <w:w w:val="86"/>
          <w:sz w:val="32"/>
          <w:highlight w:val="none"/>
        </w:rPr>
      </w:pPr>
    </w:p>
    <w:p>
      <w:pPr>
        <w:snapToGrid w:val="0"/>
        <w:jc w:val="center"/>
        <w:rPr>
          <w:rFonts w:hint="eastAsia" w:ascii="仿宋_GB2312" w:hAnsi="仿宋_GB2312" w:eastAsia="仿宋_GB2312"/>
          <w:color w:val="auto"/>
          <w:w w:val="86"/>
          <w:sz w:val="32"/>
          <w:highlight w:val="none"/>
        </w:rPr>
      </w:pPr>
      <w:r>
        <w:rPr>
          <w:rFonts w:hint="eastAsia" w:ascii="仿宋_GB2312" w:hAnsi="仿宋_GB2312" w:eastAsia="仿宋_GB2312"/>
          <w:color w:val="auto"/>
          <w:w w:val="86"/>
          <w:sz w:val="32"/>
          <w:highlight w:val="none"/>
        </w:rPr>
        <w:t>招标编号：豫财招标采购-</w:t>
      </w:r>
      <w:r>
        <w:rPr>
          <w:rFonts w:hint="eastAsia" w:ascii="仿宋_GB2312" w:hAnsi="仿宋_GB2312" w:eastAsia="仿宋_GB2312"/>
          <w:color w:val="auto"/>
          <w:w w:val="86"/>
          <w:sz w:val="32"/>
          <w:highlight w:val="none"/>
          <w:lang w:eastAsia="zh-CN"/>
        </w:rPr>
        <w:t>2020-841</w:t>
      </w:r>
      <w:r>
        <w:rPr>
          <w:rFonts w:hint="eastAsia" w:ascii="仿宋_GB2312" w:hAnsi="仿宋_GB2312" w:eastAsia="仿宋_GB2312"/>
          <w:color w:val="auto"/>
          <w:w w:val="86"/>
          <w:sz w:val="32"/>
          <w:highlight w:val="none"/>
        </w:rPr>
        <w:t>号</w:t>
      </w:r>
    </w:p>
    <w:p>
      <w:pPr>
        <w:snapToGrid w:val="0"/>
        <w:rPr>
          <w:rFonts w:hint="eastAsia" w:ascii="仿宋_GB2312" w:hAnsi="仿宋_GB2312" w:eastAsia="仿宋_GB2312"/>
          <w:color w:val="auto"/>
          <w:sz w:val="44"/>
          <w:highlight w:val="none"/>
        </w:rPr>
      </w:pPr>
    </w:p>
    <w:p>
      <w:pPr>
        <w:snapToGrid w:val="0"/>
        <w:rPr>
          <w:rFonts w:hint="eastAsia" w:ascii="仿宋_GB2312" w:hAnsi="仿宋_GB2312" w:eastAsia="仿宋_GB2312"/>
          <w:color w:val="auto"/>
          <w:sz w:val="44"/>
          <w:highlight w:val="none"/>
        </w:rPr>
      </w:pPr>
    </w:p>
    <w:p>
      <w:pPr>
        <w:snapToGrid w:val="0"/>
        <w:rPr>
          <w:rFonts w:hint="eastAsia" w:ascii="仿宋_GB2312" w:hAnsi="仿宋_GB2312" w:eastAsia="仿宋_GB2312"/>
          <w:color w:val="auto"/>
          <w:sz w:val="44"/>
          <w:highlight w:val="none"/>
        </w:rPr>
      </w:pPr>
    </w:p>
    <w:p>
      <w:pPr>
        <w:snapToGrid w:val="0"/>
        <w:rPr>
          <w:rFonts w:hint="eastAsia" w:ascii="仿宋_GB2312" w:hAnsi="仿宋_GB2312" w:eastAsia="仿宋_GB2312"/>
          <w:color w:val="auto"/>
          <w:sz w:val="44"/>
          <w:highlight w:val="none"/>
        </w:rPr>
      </w:pPr>
    </w:p>
    <w:p>
      <w:pPr>
        <w:snapToGrid w:val="0"/>
        <w:rPr>
          <w:rFonts w:hint="eastAsia" w:ascii="仿宋_GB2312" w:hAnsi="仿宋_GB2312" w:eastAsia="仿宋_GB2312"/>
          <w:color w:val="auto"/>
          <w:sz w:val="44"/>
          <w:highlight w:val="none"/>
        </w:rPr>
      </w:pPr>
    </w:p>
    <w:p>
      <w:pPr>
        <w:snapToGrid w:val="0"/>
        <w:rPr>
          <w:rFonts w:hint="eastAsia" w:ascii="仿宋_GB2312" w:hAnsi="仿宋_GB2312" w:eastAsia="仿宋_GB2312"/>
          <w:color w:val="auto"/>
          <w:highlight w:val="none"/>
        </w:rPr>
      </w:pPr>
    </w:p>
    <w:p>
      <w:pPr>
        <w:snapToGrid w:val="0"/>
        <w:rPr>
          <w:rFonts w:hint="eastAsia" w:ascii="仿宋_GB2312" w:hAnsi="仿宋_GB2312" w:eastAsia="仿宋_GB2312"/>
          <w:color w:val="auto"/>
          <w:highlight w:val="none"/>
        </w:rPr>
      </w:pPr>
    </w:p>
    <w:p>
      <w:pPr>
        <w:snapToGrid w:val="0"/>
        <w:spacing w:line="480" w:lineRule="auto"/>
        <w:ind w:firstLine="2099"/>
        <w:rPr>
          <w:rFonts w:hint="eastAsia" w:ascii="仿宋_GB2312" w:hAnsi="仿宋_GB2312" w:eastAsia="仿宋_GB2312"/>
          <w:color w:val="auto"/>
          <w:sz w:val="32"/>
          <w:highlight w:val="none"/>
        </w:rPr>
      </w:pPr>
      <w:bookmarkStart w:id="0" w:name="OLE_LINK15"/>
      <w:r>
        <w:rPr>
          <w:rFonts w:hint="eastAsia" w:ascii="仿宋_GB2312" w:hAnsi="仿宋_GB2312" w:eastAsia="仿宋_GB2312"/>
          <w:color w:val="auto"/>
          <w:sz w:val="32"/>
          <w:highlight w:val="none"/>
        </w:rPr>
        <w:t>招 标 人：华北水利水电大学</w:t>
      </w:r>
    </w:p>
    <w:p>
      <w:pPr>
        <w:snapToGrid w:val="0"/>
        <w:spacing w:line="480" w:lineRule="auto"/>
        <w:ind w:firstLine="2099"/>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代理机构：</w:t>
      </w:r>
      <w:bookmarkEnd w:id="0"/>
      <w:r>
        <w:rPr>
          <w:rFonts w:hint="eastAsia" w:ascii="仿宋_GB2312" w:hAnsi="仿宋_GB2312" w:eastAsia="仿宋_GB2312"/>
          <w:color w:val="auto"/>
          <w:sz w:val="32"/>
          <w:highlight w:val="none"/>
        </w:rPr>
        <w:t>鑫诚国际工程咨询有限公司</w:t>
      </w:r>
    </w:p>
    <w:p>
      <w:pPr>
        <w:snapToGrid w:val="0"/>
        <w:spacing w:line="480" w:lineRule="auto"/>
        <w:ind w:firstLine="2099"/>
        <w:rPr>
          <w:rFonts w:hint="eastAsia" w:ascii="仿宋_GB2312" w:hAnsi="仿宋_GB2312" w:eastAsia="仿宋_GB2312"/>
          <w:color w:val="auto"/>
          <w:sz w:val="32"/>
          <w:highlight w:val="none"/>
        </w:rPr>
      </w:pPr>
      <w:r>
        <w:rPr>
          <w:rFonts w:hint="eastAsia" w:ascii="仿宋_GB2312" w:hAnsi="仿宋_GB2312" w:eastAsia="仿宋_GB2312"/>
          <w:color w:val="auto"/>
          <w:sz w:val="32"/>
          <w:highlight w:val="none"/>
        </w:rPr>
        <w:t>日    期：二〇二〇年</w:t>
      </w:r>
      <w:r>
        <w:rPr>
          <w:rFonts w:hint="eastAsia" w:ascii="仿宋_GB2312" w:hAnsi="仿宋_GB2312" w:eastAsia="仿宋_GB2312"/>
          <w:color w:val="auto"/>
          <w:sz w:val="32"/>
          <w:highlight w:val="none"/>
          <w:lang w:val="en-US" w:eastAsia="zh-CN"/>
        </w:rPr>
        <w:t>七</w:t>
      </w:r>
      <w:r>
        <w:rPr>
          <w:rFonts w:hint="eastAsia" w:ascii="仿宋_GB2312" w:hAnsi="仿宋_GB2312" w:eastAsia="仿宋_GB2312"/>
          <w:color w:val="auto"/>
          <w:sz w:val="32"/>
          <w:highlight w:val="none"/>
        </w:rPr>
        <w:t>月</w:t>
      </w:r>
    </w:p>
    <w:p>
      <w:pPr>
        <w:snapToGrid w:val="0"/>
        <w:spacing w:line="480" w:lineRule="auto"/>
        <w:ind w:firstLine="2099"/>
        <w:rPr>
          <w:color w:val="auto"/>
          <w:highlight w:val="none"/>
        </w:rPr>
        <w:sectPr>
          <w:headerReference r:id="rId5" w:type="default"/>
          <w:footerReference r:id="rId7" w:type="default"/>
          <w:headerReference r:id="rId6" w:type="even"/>
          <w:footerReference r:id="rId8" w:type="even"/>
          <w:pgSz w:w="11906" w:h="16838"/>
          <w:pgMar w:top="1417" w:right="1134" w:bottom="1417" w:left="1134" w:header="851" w:footer="850" w:gutter="0"/>
          <w:pgNumType w:start="1"/>
          <w:cols w:space="720" w:num="1"/>
          <w:titlePg/>
          <w:docGrid w:linePitch="312" w:charSpace="0"/>
        </w:sectPr>
      </w:pPr>
    </w:p>
    <w:p>
      <w:pPr>
        <w:snapToGrid w:val="0"/>
        <w:spacing w:after="240"/>
        <w:jc w:val="center"/>
        <w:rPr>
          <w:rFonts w:hint="eastAsia" w:ascii="仿宋_GB2312" w:hAnsi="仿宋_GB2312" w:eastAsia="仿宋_GB2312"/>
          <w:color w:val="auto"/>
          <w:sz w:val="36"/>
          <w:highlight w:val="none"/>
        </w:rPr>
      </w:pPr>
      <w:r>
        <w:rPr>
          <w:rFonts w:hint="eastAsia" w:ascii="仿宋_GB2312" w:hAnsi="仿宋_GB2312" w:eastAsia="仿宋_GB2312"/>
          <w:color w:val="auto"/>
          <w:sz w:val="36"/>
          <w:highlight w:val="none"/>
        </w:rPr>
        <w:t>目  录</w:t>
      </w:r>
    </w:p>
    <w:sdt>
      <w:sdtPr>
        <w:rPr>
          <w:rFonts w:ascii="宋体" w:hAnsi="宋体" w:eastAsia="宋体" w:cs="Times New Roman"/>
          <w:color w:val="auto"/>
          <w:sz w:val="21"/>
          <w:szCs w:val="24"/>
          <w:highlight w:val="none"/>
          <w:lang w:val="en-US" w:eastAsia="zh-CN" w:bidi="ar-SA"/>
        </w:rPr>
        <w:id w:val="147453648"/>
        <w15:color w:val="DBDBDB"/>
        <w:docPartObj>
          <w:docPartGallery w:val="Table of Contents"/>
          <w:docPartUnique/>
        </w:docPartObj>
      </w:sdtPr>
      <w:sdtEndPr>
        <w:rPr>
          <w:rFonts w:hint="eastAsia" w:ascii="仿宋_GB2312" w:hAnsi="仿宋_GB2312" w:eastAsia="仿宋_GB2312" w:cs="Times New Roman"/>
          <w:b/>
          <w:color w:val="auto"/>
          <w:sz w:val="24"/>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b/>
              <w:color w:val="auto"/>
              <w:sz w:val="24"/>
              <w:szCs w:val="24"/>
              <w:highlight w:val="none"/>
            </w:rPr>
            <w:fldChar w:fldCharType="begin"/>
          </w:r>
          <w:r>
            <w:rPr>
              <w:rFonts w:hint="eastAsia" w:ascii="仿宋" w:hAnsi="仿宋" w:eastAsia="仿宋" w:cs="仿宋"/>
              <w:b/>
              <w:color w:val="auto"/>
              <w:sz w:val="24"/>
              <w:szCs w:val="24"/>
              <w:highlight w:val="none"/>
            </w:rPr>
            <w:instrText xml:space="preserve">TOC \o "1-2" \h \u </w:instrText>
          </w:r>
          <w:r>
            <w:rPr>
              <w:rFonts w:hint="eastAsia" w:ascii="仿宋" w:hAnsi="仿宋" w:eastAsia="仿宋" w:cs="仿宋"/>
              <w:b/>
              <w:color w:val="auto"/>
              <w:sz w:val="24"/>
              <w:szCs w:val="24"/>
              <w:highlight w:val="none"/>
            </w:rPr>
            <w:fldChar w:fldCharType="separate"/>
          </w: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_Toc19653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第一章  招标公告</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_Toc19653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_Toc14426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、招标条件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_Toc14426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_Toc26827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、项目概况与招标范围</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_Toc26827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_Toc27867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、投标人资格要求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_Toc27867 </w:instrText>
          </w:r>
          <w:r>
            <w:rPr>
              <w:rFonts w:hint="eastAsia" w:ascii="仿宋" w:hAnsi="仿宋" w:eastAsia="仿宋" w:cs="仿宋"/>
              <w:sz w:val="24"/>
              <w:szCs w:val="24"/>
            </w:rPr>
            <w:fldChar w:fldCharType="separate"/>
          </w:r>
          <w:r>
            <w:rPr>
              <w:rFonts w:hint="eastAsia" w:ascii="仿宋" w:hAnsi="仿宋" w:eastAsia="仿宋" w:cs="仿宋"/>
              <w:sz w:val="24"/>
              <w:szCs w:val="24"/>
            </w:rPr>
            <w:t>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_Toc5042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、招标文件的获取</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_Toc5042 </w:instrText>
          </w:r>
          <w:r>
            <w:rPr>
              <w:rFonts w:hint="eastAsia" w:ascii="仿宋" w:hAnsi="仿宋" w:eastAsia="仿宋" w:cs="仿宋"/>
              <w:sz w:val="24"/>
              <w:szCs w:val="24"/>
            </w:rPr>
            <w:fldChar w:fldCharType="separate"/>
          </w:r>
          <w:r>
            <w:rPr>
              <w:rFonts w:hint="eastAsia" w:ascii="仿宋" w:hAnsi="仿宋" w:eastAsia="仿宋" w:cs="仿宋"/>
              <w:sz w:val="24"/>
              <w:szCs w:val="24"/>
            </w:rPr>
            <w:t>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_Toc27785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、投标文件的递交</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_Toc27785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_Toc1698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、开标时间及地点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_Toc1698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_Toc25708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、发布公告媒介</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_Toc25708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_Toc14586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、联系方式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_Toc14586 </w:instrText>
          </w:r>
          <w:r>
            <w:rPr>
              <w:rFonts w:hint="eastAsia" w:ascii="仿宋" w:hAnsi="仿宋" w:eastAsia="仿宋" w:cs="仿宋"/>
              <w:sz w:val="24"/>
              <w:szCs w:val="24"/>
            </w:rPr>
            <w:fldChar w:fldCharType="separate"/>
          </w:r>
          <w:r>
            <w:rPr>
              <w:rFonts w:hint="eastAsia" w:ascii="仿宋" w:hAnsi="仿宋" w:eastAsia="仿宋" w:cs="仿宋"/>
              <w:sz w:val="24"/>
              <w:szCs w:val="24"/>
            </w:rPr>
            <w:t>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_Toc23294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_Toc23294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_Toc6555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投标人须知前附表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_Toc6555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_Toc9402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  总则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_Toc9402 </w:instrText>
          </w:r>
          <w:r>
            <w:rPr>
              <w:rFonts w:hint="eastAsia" w:ascii="仿宋" w:hAnsi="仿宋" w:eastAsia="仿宋" w:cs="仿宋"/>
              <w:sz w:val="24"/>
              <w:szCs w:val="24"/>
            </w:rPr>
            <w:fldChar w:fldCharType="separate"/>
          </w:r>
          <w:r>
            <w:rPr>
              <w:rFonts w:hint="eastAsia" w:ascii="仿宋" w:hAnsi="仿宋" w:eastAsia="仿宋" w:cs="仿宋"/>
              <w:sz w:val="24"/>
              <w:szCs w:val="24"/>
            </w:rPr>
            <w:t>16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_Toc20394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  招标文件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_Toc20394 </w:instrText>
          </w:r>
          <w:r>
            <w:rPr>
              <w:rFonts w:hint="eastAsia" w:ascii="仿宋" w:hAnsi="仿宋" w:eastAsia="仿宋" w:cs="仿宋"/>
              <w:sz w:val="24"/>
              <w:szCs w:val="24"/>
            </w:rPr>
            <w:fldChar w:fldCharType="separate"/>
          </w:r>
          <w:r>
            <w:rPr>
              <w:rFonts w:hint="eastAsia" w:ascii="仿宋" w:hAnsi="仿宋" w:eastAsia="仿宋" w:cs="仿宋"/>
              <w:sz w:val="24"/>
              <w:szCs w:val="24"/>
            </w:rPr>
            <w:t>18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_Toc18019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  投标文件</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_Toc18019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_Toc9800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  投标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_Toc9800 </w:instrText>
          </w:r>
          <w:r>
            <w:rPr>
              <w:rFonts w:hint="eastAsia" w:ascii="仿宋" w:hAnsi="仿宋" w:eastAsia="仿宋" w:cs="仿宋"/>
              <w:sz w:val="24"/>
              <w:szCs w:val="24"/>
            </w:rPr>
            <w:fldChar w:fldCharType="separate"/>
          </w:r>
          <w:r>
            <w:rPr>
              <w:rFonts w:hint="eastAsia" w:ascii="仿宋" w:hAnsi="仿宋" w:eastAsia="仿宋" w:cs="仿宋"/>
              <w:sz w:val="24"/>
              <w:szCs w:val="24"/>
            </w:rPr>
            <w:t>22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_Toc31324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5  开标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_Toc31324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_Toc8968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6  评标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_Toc8968 </w:instrText>
          </w:r>
          <w:r>
            <w:rPr>
              <w:rFonts w:hint="eastAsia" w:ascii="仿宋" w:hAnsi="仿宋" w:eastAsia="仿宋" w:cs="仿宋"/>
              <w:sz w:val="24"/>
              <w:szCs w:val="24"/>
            </w:rPr>
            <w:fldChar w:fldCharType="separate"/>
          </w:r>
          <w:r>
            <w:rPr>
              <w:rFonts w:hint="eastAsia" w:ascii="仿宋" w:hAnsi="仿宋" w:eastAsia="仿宋" w:cs="仿宋"/>
              <w:sz w:val="24"/>
              <w:szCs w:val="24"/>
            </w:rPr>
            <w:t>23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_Toc31162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7  合同授予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_Toc31162 </w:instrText>
          </w:r>
          <w:r>
            <w:rPr>
              <w:rFonts w:hint="eastAsia" w:ascii="仿宋" w:hAnsi="仿宋" w:eastAsia="仿宋" w:cs="仿宋"/>
              <w:sz w:val="24"/>
              <w:szCs w:val="24"/>
            </w:rPr>
            <w:fldChar w:fldCharType="separate"/>
          </w:r>
          <w:r>
            <w:rPr>
              <w:rFonts w:hint="eastAsia" w:ascii="仿宋" w:hAnsi="仿宋" w:eastAsia="仿宋" w:cs="仿宋"/>
              <w:sz w:val="24"/>
              <w:szCs w:val="24"/>
            </w:rPr>
            <w:t>24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8  重新招标和不再招标</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_Toc1333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_Toc28415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9  纪律和监督</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_Toc28415 </w:instrText>
          </w:r>
          <w:r>
            <w:rPr>
              <w:rFonts w:hint="eastAsia" w:ascii="仿宋" w:hAnsi="仿宋" w:eastAsia="仿宋" w:cs="仿宋"/>
              <w:sz w:val="24"/>
              <w:szCs w:val="24"/>
            </w:rPr>
            <w:fldChar w:fldCharType="separate"/>
          </w:r>
          <w:r>
            <w:rPr>
              <w:rFonts w:hint="eastAsia" w:ascii="仿宋" w:hAnsi="仿宋" w:eastAsia="仿宋" w:cs="仿宋"/>
              <w:sz w:val="24"/>
              <w:szCs w:val="24"/>
            </w:rPr>
            <w:t>25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_Toc7204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10  需要补充的其他内容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_Toc7204 </w:instrText>
          </w:r>
          <w:r>
            <w:rPr>
              <w:rFonts w:hint="eastAsia" w:ascii="仿宋" w:hAnsi="仿宋" w:eastAsia="仿宋" w:cs="仿宋"/>
              <w:sz w:val="24"/>
              <w:szCs w:val="24"/>
            </w:rPr>
            <w:fldChar w:fldCharType="separate"/>
          </w:r>
          <w:r>
            <w:rPr>
              <w:rFonts w:hint="eastAsia" w:ascii="仿宋" w:hAnsi="仿宋" w:eastAsia="仿宋" w:cs="仿宋"/>
              <w:sz w:val="24"/>
              <w:szCs w:val="24"/>
            </w:rPr>
            <w:t>26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_Toc26527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第三章  评标办法（综合评估法）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_Toc26527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_Toc5405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评标办法前附表</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_Toc5405 </w:instrText>
          </w:r>
          <w:r>
            <w:rPr>
              <w:rFonts w:hint="eastAsia" w:ascii="仿宋" w:hAnsi="仿宋" w:eastAsia="仿宋" w:cs="仿宋"/>
              <w:sz w:val="24"/>
              <w:szCs w:val="24"/>
            </w:rPr>
            <w:fldChar w:fldCharType="separate"/>
          </w:r>
          <w:r>
            <w:rPr>
              <w:rFonts w:hint="eastAsia" w:ascii="仿宋" w:hAnsi="仿宋" w:eastAsia="仿宋" w:cs="仿宋"/>
              <w:sz w:val="24"/>
              <w:szCs w:val="24"/>
            </w:rPr>
            <w:t>27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_Toc704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1、评标方法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_Toc704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_Toc9647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2、评审标准</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_Toc9647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_Toc20173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3、评标程序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_Toc20173 </w:instrText>
          </w:r>
          <w:r>
            <w:rPr>
              <w:rFonts w:hint="eastAsia" w:ascii="仿宋" w:hAnsi="仿宋" w:eastAsia="仿宋" w:cs="仿宋"/>
              <w:sz w:val="24"/>
              <w:szCs w:val="24"/>
            </w:rPr>
            <w:fldChar w:fldCharType="separate"/>
          </w:r>
          <w:r>
            <w:rPr>
              <w:rFonts w:hint="eastAsia" w:ascii="仿宋" w:hAnsi="仿宋" w:eastAsia="仿宋" w:cs="仿宋"/>
              <w:sz w:val="24"/>
              <w:szCs w:val="24"/>
            </w:rPr>
            <w:t>39</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_Toc23902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第四章 合同条款及格式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_Toc23902 </w:instrText>
          </w:r>
          <w:r>
            <w:rPr>
              <w:rFonts w:hint="eastAsia" w:ascii="仿宋" w:hAnsi="仿宋" w:eastAsia="仿宋" w:cs="仿宋"/>
              <w:sz w:val="24"/>
              <w:szCs w:val="24"/>
            </w:rPr>
            <w:fldChar w:fldCharType="separate"/>
          </w:r>
          <w:r>
            <w:rPr>
              <w:rFonts w:hint="eastAsia" w:ascii="仿宋" w:hAnsi="仿宋" w:eastAsia="仿宋" w:cs="仿宋"/>
              <w:sz w:val="24"/>
              <w:szCs w:val="24"/>
            </w:rPr>
            <w:t>43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_Toc5337 </w:instrText>
          </w:r>
          <w:r>
            <w:rPr>
              <w:rFonts w:hint="eastAsia" w:ascii="仿宋" w:hAnsi="仿宋" w:eastAsia="仿宋" w:cs="仿宋"/>
              <w:sz w:val="24"/>
              <w:szCs w:val="24"/>
              <w:highlight w:val="none"/>
            </w:rPr>
            <w:fldChar w:fldCharType="separate"/>
          </w:r>
          <w:r>
            <w:rPr>
              <w:rFonts w:hint="eastAsia" w:ascii="仿宋" w:hAnsi="仿宋" w:eastAsia="仿宋" w:cs="仿宋"/>
              <w:w w:val="99"/>
              <w:sz w:val="24"/>
              <w:szCs w:val="24"/>
              <w:highlight w:val="none"/>
            </w:rPr>
            <w:t>第一部分  合同协议书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_Toc5337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_Toc528 </w:instrText>
          </w:r>
          <w:r>
            <w:rPr>
              <w:rFonts w:hint="eastAsia" w:ascii="仿宋" w:hAnsi="仿宋" w:eastAsia="仿宋" w:cs="仿宋"/>
              <w:sz w:val="24"/>
              <w:szCs w:val="24"/>
              <w:highlight w:val="none"/>
            </w:rPr>
            <w:fldChar w:fldCharType="separate"/>
          </w:r>
          <w:r>
            <w:rPr>
              <w:rFonts w:hint="eastAsia" w:ascii="仿宋" w:hAnsi="仿宋" w:eastAsia="仿宋" w:cs="仿宋"/>
              <w:w w:val="99"/>
              <w:sz w:val="24"/>
              <w:szCs w:val="24"/>
              <w:highlight w:val="none"/>
            </w:rPr>
            <w:t xml:space="preserve">第二部分 </w:t>
          </w:r>
          <w:r>
            <w:rPr>
              <w:rFonts w:hint="eastAsia" w:ascii="仿宋" w:hAnsi="仿宋" w:eastAsia="仿宋" w:cs="仿宋"/>
              <w:w w:val="99"/>
              <w:sz w:val="24"/>
              <w:szCs w:val="24"/>
              <w:highlight w:val="none"/>
              <w:lang w:val="en-US" w:eastAsia="zh-CN"/>
            </w:rPr>
            <w:t xml:space="preserve"> </w:t>
          </w:r>
          <w:r>
            <w:rPr>
              <w:rFonts w:hint="eastAsia" w:ascii="仿宋" w:hAnsi="仿宋" w:eastAsia="仿宋" w:cs="仿宋"/>
              <w:w w:val="99"/>
              <w:sz w:val="24"/>
              <w:szCs w:val="24"/>
              <w:highlight w:val="none"/>
            </w:rPr>
            <w:t>通用合同条款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_Toc528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_Toc2020 </w:instrText>
          </w:r>
          <w:r>
            <w:rPr>
              <w:rFonts w:hint="eastAsia" w:ascii="仿宋" w:hAnsi="仿宋" w:eastAsia="仿宋" w:cs="仿宋"/>
              <w:sz w:val="24"/>
              <w:szCs w:val="24"/>
              <w:highlight w:val="none"/>
            </w:rPr>
            <w:fldChar w:fldCharType="separate"/>
          </w:r>
          <w:r>
            <w:rPr>
              <w:rFonts w:hint="eastAsia" w:ascii="仿宋" w:hAnsi="仿宋" w:eastAsia="仿宋" w:cs="仿宋"/>
              <w:w w:val="99"/>
              <w:sz w:val="24"/>
              <w:szCs w:val="24"/>
              <w:highlight w:val="none"/>
            </w:rPr>
            <w:t>第三部分  专用合同条款</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_Toc2020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_Toc13483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第五章 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_Toc13483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_Toc16256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（详见系统上传的</w:t>
          </w:r>
          <w:r>
            <w:rPr>
              <w:rFonts w:hint="eastAsia" w:ascii="仿宋" w:hAnsi="仿宋" w:eastAsia="仿宋" w:cs="仿宋"/>
              <w:bCs/>
              <w:sz w:val="24"/>
              <w:szCs w:val="24"/>
              <w:highlight w:val="none"/>
              <w:lang w:val="en-US" w:eastAsia="zh-CN"/>
            </w:rPr>
            <w:t>电子工程量清单</w:t>
          </w:r>
          <w:r>
            <w:rPr>
              <w:rFonts w:hint="eastAsia" w:ascii="仿宋" w:hAnsi="仿宋" w:eastAsia="仿宋" w:cs="仿宋"/>
              <w:bCs/>
              <w:sz w:val="24"/>
              <w:szCs w:val="24"/>
              <w:highlight w:val="none"/>
            </w:rPr>
            <w:t>）</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_Toc16256 </w:instrText>
          </w:r>
          <w:r>
            <w:rPr>
              <w:rFonts w:hint="eastAsia" w:ascii="仿宋" w:hAnsi="仿宋" w:eastAsia="仿宋" w:cs="仿宋"/>
              <w:sz w:val="24"/>
              <w:szCs w:val="24"/>
            </w:rPr>
            <w:fldChar w:fldCharType="separate"/>
          </w:r>
          <w:r>
            <w:rPr>
              <w:rFonts w:hint="eastAsia" w:ascii="仿宋" w:hAnsi="仿宋" w:eastAsia="仿宋" w:cs="仿宋"/>
              <w:sz w:val="24"/>
              <w:szCs w:val="24"/>
            </w:rPr>
            <w:t>80</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_Toc18357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第六章 图纸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_Toc18357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_Toc24682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rPr>
            <w:t>（详见系统上传的电子图纸）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_Toc24682 </w:instrText>
          </w:r>
          <w:r>
            <w:rPr>
              <w:rFonts w:hint="eastAsia" w:ascii="仿宋" w:hAnsi="仿宋" w:eastAsia="仿宋" w:cs="仿宋"/>
              <w:sz w:val="24"/>
              <w:szCs w:val="24"/>
            </w:rPr>
            <w:fldChar w:fldCharType="separate"/>
          </w:r>
          <w:r>
            <w:rPr>
              <w:rFonts w:hint="eastAsia" w:ascii="仿宋" w:hAnsi="仿宋" w:eastAsia="仿宋" w:cs="仿宋"/>
              <w:sz w:val="24"/>
              <w:szCs w:val="24"/>
            </w:rPr>
            <w:t>81</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_Toc16385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 xml:space="preserve">第七章 </w:t>
          </w:r>
          <w:r>
            <w:rPr>
              <w:rFonts w:hint="eastAsia" w:ascii="仿宋" w:hAnsi="仿宋" w:eastAsia="仿宋" w:cs="仿宋"/>
              <w:sz w:val="24"/>
              <w:szCs w:val="24"/>
              <w:highlight w:val="none"/>
            </w:rPr>
            <w:t>技术标准和要求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_Toc16385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_Toc11020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第一部分：项目名称</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_Toc11020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_Toc30631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第二部分：项目概况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_Toc30631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_Toc9999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第三部分：主要设备设施要求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_Toc9999 </w:instrText>
          </w:r>
          <w:r>
            <w:rPr>
              <w:rFonts w:hint="eastAsia" w:ascii="仿宋" w:hAnsi="仿宋" w:eastAsia="仿宋" w:cs="仿宋"/>
              <w:sz w:val="24"/>
              <w:szCs w:val="24"/>
            </w:rPr>
            <w:fldChar w:fldCharType="separate"/>
          </w:r>
          <w:r>
            <w:rPr>
              <w:rFonts w:hint="eastAsia" w:ascii="仿宋" w:hAnsi="仿宋" w:eastAsia="仿宋" w:cs="仿宋"/>
              <w:sz w:val="24"/>
              <w:szCs w:val="24"/>
            </w:rPr>
            <w:t>82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_Toc24028 </w:instrText>
          </w:r>
          <w:r>
            <w:rPr>
              <w:rFonts w:hint="eastAsia" w:ascii="仿宋" w:hAnsi="仿宋" w:eastAsia="仿宋" w:cs="仿宋"/>
              <w:sz w:val="24"/>
              <w:szCs w:val="24"/>
              <w:highlight w:val="none"/>
            </w:rPr>
            <w:fldChar w:fldCharType="separate"/>
          </w:r>
          <w:r>
            <w:rPr>
              <w:rFonts w:hint="eastAsia" w:ascii="仿宋" w:hAnsi="仿宋" w:eastAsia="仿宋" w:cs="仿宋"/>
              <w:bCs/>
              <w:sz w:val="24"/>
              <w:szCs w:val="24"/>
              <w:highlight w:val="none"/>
              <w:lang w:eastAsia="zh-CN"/>
            </w:rPr>
            <w:t>第四部分：其它要求</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_Toc24028 </w:instrText>
          </w:r>
          <w:r>
            <w:rPr>
              <w:rFonts w:hint="eastAsia" w:ascii="仿宋" w:hAnsi="仿宋" w:eastAsia="仿宋" w:cs="仿宋"/>
              <w:sz w:val="24"/>
              <w:szCs w:val="24"/>
            </w:rPr>
            <w:fldChar w:fldCharType="separate"/>
          </w:r>
          <w:r>
            <w:rPr>
              <w:rFonts w:hint="eastAsia" w:ascii="仿宋" w:hAnsi="仿宋" w:eastAsia="仿宋" w:cs="仿宋"/>
              <w:sz w:val="24"/>
              <w:szCs w:val="24"/>
            </w:rPr>
            <w:t>94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6"/>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_Toc7258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第八章   投标文件格式</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_Toc7258 </w:instrText>
          </w:r>
          <w:r>
            <w:rPr>
              <w:rFonts w:hint="eastAsia" w:ascii="仿宋" w:hAnsi="仿宋" w:eastAsia="仿宋" w:cs="仿宋"/>
              <w:sz w:val="24"/>
              <w:szCs w:val="24"/>
            </w:rPr>
            <w:fldChar w:fldCharType="separate"/>
          </w:r>
          <w:r>
            <w:rPr>
              <w:rFonts w:hint="eastAsia" w:ascii="仿宋" w:hAnsi="仿宋" w:eastAsia="仿宋" w:cs="仿宋"/>
              <w:sz w:val="24"/>
              <w:szCs w:val="24"/>
            </w:rPr>
            <w:t>95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_Toc25186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目  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_Toc25186 </w:instrText>
          </w:r>
          <w:r>
            <w:rPr>
              <w:rFonts w:hint="eastAsia" w:ascii="仿宋" w:hAnsi="仿宋" w:eastAsia="仿宋" w:cs="仿宋"/>
              <w:sz w:val="24"/>
              <w:szCs w:val="24"/>
            </w:rPr>
            <w:fldChar w:fldCharType="separate"/>
          </w:r>
          <w:r>
            <w:rPr>
              <w:rFonts w:hint="eastAsia" w:ascii="仿宋" w:hAnsi="仿宋" w:eastAsia="仿宋" w:cs="仿宋"/>
              <w:sz w:val="24"/>
              <w:szCs w:val="24"/>
            </w:rPr>
            <w:t>96</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_Toc19765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一、投标函及投标函附录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_Toc19765 </w:instrText>
          </w:r>
          <w:r>
            <w:rPr>
              <w:rFonts w:hint="eastAsia" w:ascii="仿宋" w:hAnsi="仿宋" w:eastAsia="仿宋" w:cs="仿宋"/>
              <w:sz w:val="24"/>
              <w:szCs w:val="24"/>
            </w:rPr>
            <w:fldChar w:fldCharType="separate"/>
          </w:r>
          <w:r>
            <w:rPr>
              <w:rFonts w:hint="eastAsia" w:ascii="仿宋" w:hAnsi="仿宋" w:eastAsia="仿宋" w:cs="仿宋"/>
              <w:sz w:val="24"/>
              <w:szCs w:val="24"/>
            </w:rPr>
            <w:t>97</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_Toc20906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二、法定代表人身份证明及授权委托书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_Toc20906 </w:instrText>
          </w:r>
          <w:r>
            <w:rPr>
              <w:rFonts w:hint="eastAsia" w:ascii="仿宋" w:hAnsi="仿宋" w:eastAsia="仿宋" w:cs="仿宋"/>
              <w:sz w:val="24"/>
              <w:szCs w:val="24"/>
            </w:rPr>
            <w:fldChar w:fldCharType="separate"/>
          </w:r>
          <w:r>
            <w:rPr>
              <w:rFonts w:hint="eastAsia" w:ascii="仿宋" w:hAnsi="仿宋" w:eastAsia="仿宋" w:cs="仿宋"/>
              <w:sz w:val="24"/>
              <w:szCs w:val="24"/>
            </w:rPr>
            <w:t>101</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_Toc17007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三、</w:t>
          </w:r>
          <w:r>
            <w:rPr>
              <w:rFonts w:hint="eastAsia" w:ascii="仿宋" w:hAnsi="仿宋" w:eastAsia="仿宋" w:cs="仿宋"/>
              <w:sz w:val="24"/>
              <w:szCs w:val="24"/>
              <w:highlight w:val="none"/>
              <w:lang w:eastAsia="zh-CN"/>
            </w:rPr>
            <w:t>投标保证金缴纳证明</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_Toc17007 </w:instrText>
          </w:r>
          <w:r>
            <w:rPr>
              <w:rFonts w:hint="eastAsia" w:ascii="仿宋" w:hAnsi="仿宋" w:eastAsia="仿宋" w:cs="仿宋"/>
              <w:sz w:val="24"/>
              <w:szCs w:val="24"/>
            </w:rPr>
            <w:fldChar w:fldCharType="separate"/>
          </w:r>
          <w:r>
            <w:rPr>
              <w:rFonts w:hint="eastAsia" w:ascii="仿宋" w:hAnsi="仿宋" w:eastAsia="仿宋" w:cs="仿宋"/>
              <w:sz w:val="24"/>
              <w:szCs w:val="24"/>
            </w:rPr>
            <w:t>103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_Toc20195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四、已标价工程量清单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_Toc20195 </w:instrText>
          </w:r>
          <w:r>
            <w:rPr>
              <w:rFonts w:hint="eastAsia" w:ascii="仿宋" w:hAnsi="仿宋" w:eastAsia="仿宋" w:cs="仿宋"/>
              <w:sz w:val="24"/>
              <w:szCs w:val="24"/>
            </w:rPr>
            <w:fldChar w:fldCharType="separate"/>
          </w:r>
          <w:r>
            <w:rPr>
              <w:rFonts w:hint="eastAsia" w:ascii="仿宋" w:hAnsi="仿宋" w:eastAsia="仿宋" w:cs="仿宋"/>
              <w:sz w:val="24"/>
              <w:szCs w:val="24"/>
            </w:rPr>
            <w:t>104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_Toc16815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五、施工组织设计</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_Toc16815 </w:instrText>
          </w:r>
          <w:r>
            <w:rPr>
              <w:rFonts w:hint="eastAsia" w:ascii="仿宋" w:hAnsi="仿宋" w:eastAsia="仿宋" w:cs="仿宋"/>
              <w:sz w:val="24"/>
              <w:szCs w:val="24"/>
            </w:rPr>
            <w:fldChar w:fldCharType="separate"/>
          </w:r>
          <w:r>
            <w:rPr>
              <w:rFonts w:hint="eastAsia" w:ascii="仿宋" w:hAnsi="仿宋" w:eastAsia="仿宋" w:cs="仿宋"/>
              <w:sz w:val="24"/>
              <w:szCs w:val="24"/>
            </w:rPr>
            <w:t>105</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_Toc17280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六、项目管理机构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_Toc17280 </w:instrText>
          </w:r>
          <w:r>
            <w:rPr>
              <w:rFonts w:hint="eastAsia" w:ascii="仿宋" w:hAnsi="仿宋" w:eastAsia="仿宋" w:cs="仿宋"/>
              <w:sz w:val="24"/>
              <w:szCs w:val="24"/>
            </w:rPr>
            <w:fldChar w:fldCharType="separate"/>
          </w:r>
          <w:r>
            <w:rPr>
              <w:rFonts w:hint="eastAsia" w:ascii="仿宋" w:hAnsi="仿宋" w:eastAsia="仿宋" w:cs="仿宋"/>
              <w:sz w:val="24"/>
              <w:szCs w:val="24"/>
            </w:rPr>
            <w:t>112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_Toc1886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rPr>
            <w:t>七、</w:t>
          </w:r>
          <w:r>
            <w:rPr>
              <w:rFonts w:hint="eastAsia" w:ascii="仿宋" w:hAnsi="仿宋" w:eastAsia="仿宋" w:cs="仿宋"/>
              <w:sz w:val="24"/>
              <w:szCs w:val="24"/>
              <w:highlight w:val="none"/>
            </w:rPr>
            <w:t>资格审查资料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_Toc1886 </w:instrText>
          </w:r>
          <w:r>
            <w:rPr>
              <w:rFonts w:hint="eastAsia" w:ascii="仿宋" w:hAnsi="仿宋" w:eastAsia="仿宋" w:cs="仿宋"/>
              <w:sz w:val="24"/>
              <w:szCs w:val="24"/>
            </w:rPr>
            <w:fldChar w:fldCharType="separate"/>
          </w:r>
          <w:r>
            <w:rPr>
              <w:rFonts w:hint="eastAsia" w:ascii="仿宋" w:hAnsi="仿宋" w:eastAsia="仿宋" w:cs="仿宋"/>
              <w:sz w:val="24"/>
              <w:szCs w:val="24"/>
            </w:rPr>
            <w:t>118</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_Toc6146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八、近年类似工程项目业绩</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_Toc6146 </w:instrText>
          </w:r>
          <w:r>
            <w:rPr>
              <w:rFonts w:hint="eastAsia" w:ascii="仿宋" w:hAnsi="仿宋" w:eastAsia="仿宋" w:cs="仿宋"/>
              <w:sz w:val="24"/>
              <w:szCs w:val="24"/>
            </w:rPr>
            <w:fldChar w:fldCharType="separate"/>
          </w:r>
          <w:r>
            <w:rPr>
              <w:rFonts w:hint="eastAsia" w:ascii="仿宋" w:hAnsi="仿宋" w:eastAsia="仿宋" w:cs="仿宋"/>
              <w:sz w:val="24"/>
              <w:szCs w:val="24"/>
            </w:rPr>
            <w:t>122</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_Toc26825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九、反商业贿赂承诺书</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_Toc26825 </w:instrText>
          </w:r>
          <w:r>
            <w:rPr>
              <w:rFonts w:hint="eastAsia" w:ascii="仿宋" w:hAnsi="仿宋" w:eastAsia="仿宋" w:cs="仿宋"/>
              <w:sz w:val="24"/>
              <w:szCs w:val="24"/>
            </w:rPr>
            <w:fldChar w:fldCharType="separate"/>
          </w:r>
          <w:r>
            <w:rPr>
              <w:rFonts w:hint="eastAsia" w:ascii="仿宋" w:hAnsi="仿宋" w:eastAsia="仿宋" w:cs="仿宋"/>
              <w:sz w:val="24"/>
              <w:szCs w:val="24"/>
            </w:rPr>
            <w:t>123</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pStyle w:val="18"/>
            <w:keepNext w:val="0"/>
            <w:keepLines w:val="0"/>
            <w:pageBreakBefore w:val="0"/>
            <w:widowControl/>
            <w:tabs>
              <w:tab w:val="right" w:leader="dot" w:pos="9638"/>
            </w:tabs>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color w:val="auto"/>
              <w:sz w:val="24"/>
              <w:szCs w:val="24"/>
              <w:highlight w:val="none"/>
            </w:rPr>
            <w:fldChar w:fldCharType="begin"/>
          </w:r>
          <w:r>
            <w:rPr>
              <w:rFonts w:hint="eastAsia" w:ascii="仿宋" w:hAnsi="仿宋" w:eastAsia="仿宋" w:cs="仿宋"/>
              <w:sz w:val="24"/>
              <w:szCs w:val="24"/>
              <w:highlight w:val="none"/>
            </w:rPr>
            <w:instrText xml:space="preserve"> HYPERLINK \l _Toc26636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十、其他资料</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_Toc26636 </w:instrText>
          </w:r>
          <w:r>
            <w:rPr>
              <w:rFonts w:hint="eastAsia" w:ascii="仿宋" w:hAnsi="仿宋" w:eastAsia="仿宋" w:cs="仿宋"/>
              <w:sz w:val="24"/>
              <w:szCs w:val="24"/>
            </w:rPr>
            <w:fldChar w:fldCharType="separate"/>
          </w:r>
          <w:r>
            <w:rPr>
              <w:rFonts w:hint="eastAsia" w:ascii="仿宋" w:hAnsi="仿宋" w:eastAsia="仿宋" w:cs="仿宋"/>
              <w:sz w:val="24"/>
              <w:szCs w:val="24"/>
            </w:rPr>
            <w:t>124</w:t>
          </w:r>
          <w:r>
            <w:rPr>
              <w:rFonts w:hint="eastAsia" w:ascii="仿宋" w:hAnsi="仿宋" w:eastAsia="仿宋" w:cs="仿宋"/>
              <w:sz w:val="24"/>
              <w:szCs w:val="24"/>
            </w:rPr>
            <w:fldChar w:fldCharType="end"/>
          </w:r>
          <w:r>
            <w:rPr>
              <w:rFonts w:hint="eastAsia" w:ascii="仿宋" w:hAnsi="仿宋" w:eastAsia="仿宋" w:cs="仿宋"/>
              <w:color w:val="auto"/>
              <w:sz w:val="24"/>
              <w:szCs w:val="24"/>
              <w:highlight w:val="none"/>
            </w:rPr>
            <w:fldChar w:fldCharType="end"/>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仿宋_GB2312" w:hAnsi="仿宋_GB2312" w:eastAsia="仿宋_GB2312"/>
              <w:b/>
              <w:color w:val="auto"/>
              <w:sz w:val="32"/>
              <w:highlight w:val="none"/>
            </w:rPr>
          </w:pPr>
          <w:r>
            <w:rPr>
              <w:rFonts w:hint="eastAsia" w:ascii="仿宋" w:hAnsi="仿宋" w:eastAsia="仿宋" w:cs="仿宋"/>
              <w:color w:val="auto"/>
              <w:sz w:val="24"/>
              <w:szCs w:val="24"/>
              <w:highlight w:val="none"/>
            </w:rPr>
            <w:fldChar w:fldCharType="end"/>
          </w:r>
        </w:p>
      </w:sdtContent>
    </w:sdt>
    <w:p>
      <w:pPr>
        <w:snapToGrid w:val="0"/>
        <w:spacing w:line="336" w:lineRule="auto"/>
        <w:jc w:val="center"/>
        <w:outlineLvl w:val="0"/>
        <w:rPr>
          <w:rFonts w:hint="eastAsia" w:ascii="仿宋_GB2312" w:hAnsi="仿宋_GB2312" w:eastAsia="仿宋_GB2312"/>
          <w:color w:val="auto"/>
          <w:sz w:val="32"/>
          <w:highlight w:val="none"/>
        </w:rPr>
      </w:pPr>
      <w:r>
        <w:rPr>
          <w:color w:val="auto"/>
          <w:highlight w:val="none"/>
        </w:rPr>
        <w:br w:type="page"/>
      </w:r>
      <w:bookmarkStart w:id="1" w:name="_Toc19653"/>
      <w:r>
        <w:rPr>
          <w:rFonts w:hint="eastAsia" w:ascii="仿宋_GB2312" w:hAnsi="仿宋_GB2312" w:eastAsia="仿宋_GB2312"/>
          <w:b/>
          <w:color w:val="auto"/>
          <w:sz w:val="32"/>
          <w:highlight w:val="none"/>
        </w:rPr>
        <w:t>第一章  招标公告</w:t>
      </w:r>
      <w:bookmarkEnd w:id="1"/>
    </w:p>
    <w:p>
      <w:pPr>
        <w:snapToGrid w:val="0"/>
        <w:spacing w:line="360" w:lineRule="auto"/>
        <w:outlineLvl w:val="1"/>
        <w:rPr>
          <w:rFonts w:hint="eastAsia" w:ascii="仿宋_GB2312" w:hAnsi="仿宋_GB2312" w:eastAsia="仿宋_GB2312"/>
          <w:b/>
          <w:color w:val="auto"/>
          <w:highlight w:val="none"/>
        </w:rPr>
      </w:pPr>
      <w:bookmarkStart w:id="2" w:name="_Toc14426"/>
      <w:r>
        <w:rPr>
          <w:rFonts w:hint="eastAsia" w:ascii="仿宋_GB2312" w:hAnsi="仿宋_GB2312" w:eastAsia="仿宋_GB2312"/>
          <w:b/>
          <w:color w:val="auto"/>
          <w:highlight w:val="none"/>
          <w:lang w:val="en-US" w:eastAsia="zh-CN"/>
        </w:rPr>
        <w:t>1</w:t>
      </w:r>
      <w:r>
        <w:rPr>
          <w:rFonts w:hint="eastAsia" w:ascii="仿宋_GB2312" w:hAnsi="仿宋_GB2312" w:eastAsia="仿宋_GB2312"/>
          <w:b/>
          <w:color w:val="auto"/>
          <w:highlight w:val="none"/>
        </w:rPr>
        <w:t>、招标条件</w:t>
      </w:r>
      <w:bookmarkEnd w:id="2"/>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本招标项目</w:t>
      </w:r>
      <w:r>
        <w:rPr>
          <w:rFonts w:hint="eastAsia" w:ascii="仿宋_GB2312" w:hAnsi="仿宋_GB2312" w:eastAsia="仿宋_GB2312"/>
          <w:color w:val="auto"/>
          <w:highlight w:val="none"/>
          <w:u w:val="single"/>
          <w:lang w:eastAsia="zh-CN"/>
        </w:rPr>
        <w:t>华北水利水电大学（花园校区）增容供配电工程项目</w:t>
      </w:r>
      <w:r>
        <w:rPr>
          <w:rFonts w:hint="eastAsia" w:ascii="仿宋_GB2312" w:hAnsi="仿宋_GB2312" w:eastAsia="仿宋_GB2312"/>
          <w:color w:val="auto"/>
          <w:highlight w:val="none"/>
        </w:rPr>
        <w:t>已经有关部门批准建设，项目业主为</w:t>
      </w:r>
      <w:r>
        <w:rPr>
          <w:rFonts w:hint="eastAsia" w:ascii="仿宋_GB2312" w:hAnsi="仿宋_GB2312" w:eastAsia="仿宋_GB2312"/>
          <w:color w:val="auto"/>
          <w:highlight w:val="none"/>
          <w:u w:val="single"/>
        </w:rPr>
        <w:t>华北水利水电大学</w:t>
      </w:r>
      <w:r>
        <w:rPr>
          <w:rFonts w:hint="eastAsia" w:ascii="仿宋_GB2312" w:hAnsi="仿宋_GB2312" w:eastAsia="仿宋_GB2312"/>
          <w:color w:val="auto"/>
          <w:highlight w:val="none"/>
        </w:rPr>
        <w:t>，建设资金为</w:t>
      </w:r>
      <w:r>
        <w:rPr>
          <w:rFonts w:hint="eastAsia" w:ascii="仿宋_GB2312" w:hAnsi="仿宋_GB2312" w:eastAsia="仿宋_GB2312"/>
          <w:color w:val="auto"/>
          <w:highlight w:val="none"/>
          <w:u w:val="single"/>
          <w:lang w:val="en-US" w:eastAsia="zh-CN"/>
        </w:rPr>
        <w:t>自筹资金</w:t>
      </w:r>
      <w:r>
        <w:rPr>
          <w:rFonts w:hint="eastAsia" w:ascii="仿宋_GB2312" w:hAnsi="仿宋_GB2312" w:eastAsia="仿宋_GB2312"/>
          <w:color w:val="auto"/>
          <w:highlight w:val="none"/>
        </w:rPr>
        <w:t>，资金</w:t>
      </w:r>
      <w:r>
        <w:rPr>
          <w:rFonts w:hint="eastAsia" w:ascii="仿宋_GB2312" w:hAnsi="仿宋_GB2312" w:eastAsia="仿宋_GB2312"/>
          <w:color w:val="auto"/>
          <w:highlight w:val="none"/>
          <w:u w:val="single"/>
        </w:rPr>
        <w:t>已落实</w:t>
      </w:r>
      <w:r>
        <w:rPr>
          <w:rFonts w:hint="eastAsia" w:ascii="仿宋_GB2312" w:hAnsi="仿宋_GB2312" w:eastAsia="仿宋_GB2312"/>
          <w:color w:val="auto"/>
          <w:highlight w:val="none"/>
        </w:rPr>
        <w:t>，招标人为</w:t>
      </w:r>
      <w:r>
        <w:rPr>
          <w:rFonts w:hint="eastAsia" w:ascii="仿宋_GB2312" w:hAnsi="仿宋_GB2312" w:eastAsia="仿宋_GB2312"/>
          <w:color w:val="auto"/>
          <w:highlight w:val="none"/>
          <w:u w:val="single"/>
        </w:rPr>
        <w:t>华北水利水电大学</w:t>
      </w:r>
      <w:r>
        <w:rPr>
          <w:rFonts w:hint="eastAsia" w:ascii="仿宋_GB2312" w:hAnsi="仿宋_GB2312" w:eastAsia="仿宋_GB2312"/>
          <w:color w:val="auto"/>
          <w:highlight w:val="none"/>
        </w:rPr>
        <w:t>，招标代理机构为</w:t>
      </w:r>
      <w:r>
        <w:rPr>
          <w:rFonts w:hint="eastAsia" w:ascii="仿宋_GB2312" w:hAnsi="仿宋_GB2312" w:eastAsia="仿宋_GB2312"/>
          <w:color w:val="auto"/>
          <w:highlight w:val="none"/>
          <w:u w:val="single"/>
        </w:rPr>
        <w:t>鑫诚国际工程咨询有限公司</w:t>
      </w:r>
      <w:r>
        <w:rPr>
          <w:rFonts w:hint="eastAsia" w:ascii="仿宋_GB2312" w:hAnsi="仿宋_GB2312" w:eastAsia="仿宋_GB2312"/>
          <w:color w:val="auto"/>
          <w:highlight w:val="none"/>
        </w:rPr>
        <w:t>。项目已具备招标条件，现对该项目进行公开招标，欢迎符合条件的潜在投标人参与投标。</w:t>
      </w:r>
    </w:p>
    <w:p>
      <w:pPr>
        <w:snapToGrid w:val="0"/>
        <w:spacing w:line="360" w:lineRule="auto"/>
        <w:outlineLvl w:val="1"/>
        <w:rPr>
          <w:rFonts w:hint="eastAsia" w:ascii="仿宋_GB2312" w:hAnsi="仿宋_GB2312" w:eastAsia="仿宋_GB2312"/>
          <w:b/>
          <w:color w:val="auto"/>
          <w:highlight w:val="none"/>
        </w:rPr>
      </w:pPr>
      <w:bookmarkStart w:id="3" w:name="_Toc26827"/>
      <w:r>
        <w:rPr>
          <w:rFonts w:hint="eastAsia" w:ascii="仿宋_GB2312" w:hAnsi="仿宋_GB2312" w:eastAsia="仿宋_GB2312"/>
          <w:b/>
          <w:color w:val="auto"/>
          <w:highlight w:val="none"/>
          <w:lang w:val="en-US" w:eastAsia="zh-CN"/>
        </w:rPr>
        <w:t>2</w:t>
      </w:r>
      <w:r>
        <w:rPr>
          <w:rFonts w:hint="eastAsia" w:ascii="仿宋_GB2312" w:hAnsi="仿宋_GB2312" w:eastAsia="仿宋_GB2312"/>
          <w:b/>
          <w:color w:val="auto"/>
          <w:highlight w:val="none"/>
        </w:rPr>
        <w:t>、项目概况与招标范围</w:t>
      </w:r>
      <w:bookmarkEnd w:id="3"/>
    </w:p>
    <w:p>
      <w:pPr>
        <w:snapToGrid w:val="0"/>
        <w:spacing w:line="360" w:lineRule="auto"/>
        <w:ind w:firstLine="315"/>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2.1 项目名称：</w:t>
      </w:r>
      <w:r>
        <w:rPr>
          <w:rFonts w:hint="eastAsia" w:ascii="仿宋_GB2312" w:hAnsi="仿宋_GB2312" w:eastAsia="仿宋_GB2312"/>
          <w:color w:val="auto"/>
          <w:highlight w:val="none"/>
          <w:lang w:eastAsia="zh-CN"/>
        </w:rPr>
        <w:t>华北水利水电大学（花园校区）增容供配电工程项目</w:t>
      </w:r>
    </w:p>
    <w:p>
      <w:pPr>
        <w:snapToGrid w:val="0"/>
        <w:spacing w:line="360" w:lineRule="auto"/>
        <w:ind w:firstLine="315"/>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2.2 招标编号：豫财招标采购-</w:t>
      </w:r>
      <w:r>
        <w:rPr>
          <w:rFonts w:hint="eastAsia" w:ascii="仿宋_GB2312" w:hAnsi="仿宋_GB2312" w:eastAsia="仿宋_GB2312"/>
          <w:color w:val="auto"/>
          <w:highlight w:val="none"/>
          <w:lang w:eastAsia="zh-CN"/>
        </w:rPr>
        <w:t>2020-841</w:t>
      </w:r>
      <w:r>
        <w:rPr>
          <w:rFonts w:hint="eastAsia" w:ascii="仿宋_GB2312" w:hAnsi="仿宋_GB2312" w:eastAsia="仿宋_GB2312"/>
          <w:color w:val="auto"/>
          <w:highlight w:val="none"/>
        </w:rPr>
        <w:t>号</w:t>
      </w:r>
    </w:p>
    <w:p>
      <w:pPr>
        <w:snapToGrid w:val="0"/>
        <w:spacing w:line="360" w:lineRule="auto"/>
        <w:ind w:firstLine="315"/>
        <w:rPr>
          <w:rFonts w:hint="eastAsia" w:ascii="仿宋_GB2312" w:hAnsi="仿宋_GB2312" w:eastAsia="仿宋_GB2312"/>
          <w:color w:val="auto"/>
          <w:highlight w:val="none"/>
        </w:rPr>
      </w:pPr>
      <w:r>
        <w:rPr>
          <w:rFonts w:hint="eastAsia" w:ascii="仿宋_GB2312" w:hAnsi="仿宋_GB2312" w:eastAsia="仿宋_GB2312"/>
          <w:color w:val="auto"/>
          <w:highlight w:val="none"/>
        </w:rPr>
        <w:t>2.3 标段划分：未划分标段</w:t>
      </w:r>
    </w:p>
    <w:p>
      <w:pPr>
        <w:snapToGrid w:val="0"/>
        <w:spacing w:line="360" w:lineRule="auto"/>
        <w:ind w:firstLine="315"/>
        <w:rPr>
          <w:rFonts w:hint="eastAsia" w:ascii="仿宋_GB2312" w:hAnsi="仿宋_GB2312" w:eastAsia="仿宋_GB2312"/>
          <w:color w:val="auto"/>
          <w:highlight w:val="none"/>
        </w:rPr>
      </w:pPr>
      <w:r>
        <w:rPr>
          <w:rFonts w:hint="eastAsia" w:ascii="仿宋_GB2312" w:hAnsi="仿宋_GB2312" w:eastAsia="仿宋_GB2312"/>
          <w:color w:val="auto"/>
          <w:highlight w:val="none"/>
        </w:rPr>
        <w:t>2.4 招标范围：</w:t>
      </w:r>
      <w:r>
        <w:rPr>
          <w:rFonts w:hint="eastAsia" w:ascii="仿宋_GB2312" w:hAnsi="仿宋_GB2312" w:eastAsia="仿宋_GB2312" w:cs="仿宋_GB2312"/>
          <w:color w:val="auto"/>
          <w:sz w:val="24"/>
          <w:highlight w:val="none"/>
          <w:lang w:eastAsia="zh-CN"/>
        </w:rPr>
        <w:t>电力增容、校内外高压线路和设备的采购安装调试、校内低压线路和设备的采购安装调试、花园校区配套用电手续的办理等，具体工程量详见</w:t>
      </w:r>
      <w:r>
        <w:rPr>
          <w:rFonts w:hint="eastAsia" w:ascii="仿宋_GB2312" w:hAnsi="仿宋_GB2312" w:eastAsia="仿宋_GB2312"/>
          <w:color w:val="auto"/>
          <w:highlight w:val="none"/>
          <w:lang w:eastAsia="zh-CN"/>
        </w:rPr>
        <w:t>华北水利水电大学（花园校区）增容供配电工程项目</w:t>
      </w:r>
      <w:r>
        <w:rPr>
          <w:rFonts w:hint="eastAsia" w:ascii="仿宋_GB2312" w:hAnsi="仿宋_GB2312" w:eastAsia="仿宋_GB2312"/>
          <w:color w:val="auto"/>
          <w:highlight w:val="none"/>
        </w:rPr>
        <w:t>施工图纸及工程量清单内全部内容。</w:t>
      </w:r>
    </w:p>
    <w:p>
      <w:pPr>
        <w:snapToGrid w:val="0"/>
        <w:spacing w:line="360" w:lineRule="auto"/>
        <w:ind w:firstLine="315"/>
        <w:rPr>
          <w:rFonts w:hint="eastAsia" w:ascii="仿宋_GB2312" w:hAnsi="仿宋_GB2312" w:eastAsia="仿宋_GB2312"/>
          <w:color w:val="auto"/>
          <w:highlight w:val="none"/>
        </w:rPr>
      </w:pPr>
      <w:r>
        <w:rPr>
          <w:rFonts w:hint="eastAsia" w:ascii="仿宋_GB2312" w:hAnsi="仿宋_GB2312" w:eastAsia="仿宋_GB2312"/>
          <w:color w:val="auto"/>
          <w:highlight w:val="none"/>
        </w:rPr>
        <w:t>2.5 质量要求：合格</w:t>
      </w:r>
    </w:p>
    <w:p>
      <w:pPr>
        <w:snapToGrid w:val="0"/>
        <w:spacing w:line="360" w:lineRule="auto"/>
        <w:ind w:firstLine="315"/>
        <w:rPr>
          <w:rFonts w:hint="eastAsia" w:ascii="仿宋_GB2312" w:hAnsi="仿宋_GB2312" w:eastAsia="仿宋_GB2312"/>
          <w:color w:val="auto"/>
          <w:highlight w:val="none"/>
        </w:rPr>
      </w:pPr>
      <w:r>
        <w:rPr>
          <w:rFonts w:hint="eastAsia" w:ascii="仿宋_GB2312" w:hAnsi="仿宋_GB2312" w:eastAsia="仿宋_GB2312"/>
          <w:color w:val="auto"/>
          <w:highlight w:val="none"/>
        </w:rPr>
        <w:t>2.6 工期要求：45日历天</w:t>
      </w:r>
    </w:p>
    <w:p>
      <w:pPr>
        <w:snapToGrid w:val="0"/>
        <w:spacing w:line="360" w:lineRule="auto"/>
        <w:ind w:firstLine="315"/>
        <w:rPr>
          <w:rFonts w:hint="eastAsia"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2.7 工程</w:t>
      </w:r>
      <w:r>
        <w:rPr>
          <w:rFonts w:hint="eastAsia" w:ascii="仿宋_GB2312" w:hAnsi="仿宋_GB2312" w:eastAsia="仿宋_GB2312"/>
          <w:color w:val="auto"/>
          <w:highlight w:val="none"/>
          <w:lang w:eastAsia="zh-CN"/>
        </w:rPr>
        <w:t>保修期</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2年，</w:t>
      </w:r>
      <w:r>
        <w:rPr>
          <w:rFonts w:hint="eastAsia" w:ascii="仿宋_GB2312" w:hAnsi="仿宋_GB2312" w:eastAsia="仿宋_GB2312"/>
          <w:color w:val="auto"/>
          <w:highlight w:val="none"/>
          <w:lang w:eastAsia="zh-CN"/>
        </w:rPr>
        <w:t>自工程竣工验收合格之日起计算</w:t>
      </w:r>
    </w:p>
    <w:p>
      <w:pPr>
        <w:snapToGrid w:val="0"/>
        <w:spacing w:line="360" w:lineRule="auto"/>
        <w:ind w:firstLine="315"/>
        <w:rPr>
          <w:rFonts w:hint="eastAsia"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2.8 工程</w:t>
      </w:r>
      <w:r>
        <w:rPr>
          <w:rFonts w:hint="eastAsia" w:ascii="仿宋_GB2312" w:hAnsi="仿宋_GB2312" w:eastAsia="仿宋_GB2312"/>
          <w:color w:val="auto"/>
          <w:highlight w:val="none"/>
          <w:lang w:eastAsia="zh-CN"/>
        </w:rPr>
        <w:t>缺陷责任期</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2年，</w:t>
      </w:r>
      <w:r>
        <w:rPr>
          <w:rFonts w:hint="eastAsia" w:ascii="仿宋_GB2312" w:hAnsi="仿宋_GB2312" w:eastAsia="仿宋_GB2312"/>
          <w:color w:val="auto"/>
          <w:highlight w:val="none"/>
          <w:lang w:eastAsia="zh-CN"/>
        </w:rPr>
        <w:t>自工程竣工验收合格之日起计算</w:t>
      </w:r>
    </w:p>
    <w:p>
      <w:pPr>
        <w:snapToGrid w:val="0"/>
        <w:spacing w:line="360" w:lineRule="auto"/>
        <w:ind w:firstLine="315"/>
        <w:rPr>
          <w:rFonts w:hint="default"/>
          <w:color w:val="auto"/>
          <w:highlight w:val="none"/>
          <w:lang w:val="en-US" w:eastAsia="zh-CN"/>
        </w:rPr>
      </w:pPr>
      <w:r>
        <w:rPr>
          <w:rFonts w:hint="eastAsia" w:ascii="仿宋_GB2312" w:hAnsi="仿宋_GB2312" w:eastAsia="仿宋_GB2312"/>
          <w:color w:val="auto"/>
          <w:highlight w:val="none"/>
          <w:lang w:val="en-US" w:eastAsia="zh-CN"/>
        </w:rPr>
        <w:t>2.9 主要设备质保期</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5年，电缆按国家规定执行，</w:t>
      </w:r>
      <w:r>
        <w:rPr>
          <w:rFonts w:hint="eastAsia" w:ascii="仿宋_GB2312" w:hAnsi="仿宋_GB2312" w:eastAsia="仿宋_GB2312"/>
          <w:color w:val="auto"/>
          <w:highlight w:val="none"/>
          <w:lang w:eastAsia="zh-CN"/>
        </w:rPr>
        <w:t>自工程竣工验收合格之日起计算</w:t>
      </w:r>
    </w:p>
    <w:p>
      <w:pPr>
        <w:snapToGrid w:val="0"/>
        <w:spacing w:line="360" w:lineRule="auto"/>
        <w:ind w:firstLine="315"/>
        <w:rPr>
          <w:rFonts w:hint="eastAsia" w:ascii="仿宋" w:hAnsi="仿宋" w:eastAsia="仿宋" w:cs="仿宋"/>
          <w:color w:val="auto"/>
          <w:highlight w:val="none"/>
        </w:rPr>
      </w:pPr>
      <w:r>
        <w:rPr>
          <w:rFonts w:hint="eastAsia" w:ascii="仿宋_GB2312" w:hAnsi="仿宋_GB2312" w:eastAsia="仿宋_GB2312"/>
          <w:color w:val="auto"/>
          <w:highlight w:val="none"/>
        </w:rPr>
        <w:t>2.</w:t>
      </w:r>
      <w:r>
        <w:rPr>
          <w:rFonts w:hint="eastAsia" w:ascii="仿宋_GB2312" w:hAnsi="仿宋_GB2312" w:eastAsia="仿宋_GB2312"/>
          <w:color w:val="auto"/>
          <w:highlight w:val="none"/>
          <w:lang w:val="en-US" w:eastAsia="zh-CN"/>
        </w:rPr>
        <w:t>10</w:t>
      </w:r>
      <w:r>
        <w:rPr>
          <w:rFonts w:hint="eastAsia" w:ascii="仿宋_GB2312" w:hAnsi="仿宋_GB2312" w:eastAsia="仿宋_GB2312"/>
          <w:color w:val="auto"/>
          <w:highlight w:val="none"/>
        </w:rPr>
        <w:t xml:space="preserve"> 招标控制价：</w:t>
      </w:r>
      <w:r>
        <w:rPr>
          <w:rFonts w:hint="eastAsia" w:ascii="仿宋" w:hAnsi="仿宋" w:eastAsia="仿宋" w:cs="仿宋"/>
          <w:color w:val="auto"/>
          <w:highlight w:val="none"/>
        </w:rPr>
        <w:t>15998326.71元</w:t>
      </w:r>
    </w:p>
    <w:p>
      <w:pPr>
        <w:snapToGrid w:val="0"/>
        <w:spacing w:line="360" w:lineRule="auto"/>
        <w:outlineLvl w:val="1"/>
        <w:rPr>
          <w:rFonts w:hint="eastAsia" w:ascii="仿宋_GB2312" w:hAnsi="仿宋_GB2312" w:eastAsia="仿宋_GB2312"/>
          <w:b/>
          <w:color w:val="auto"/>
          <w:highlight w:val="none"/>
        </w:rPr>
      </w:pPr>
      <w:bookmarkStart w:id="4" w:name="_Toc27867"/>
      <w:r>
        <w:rPr>
          <w:rFonts w:hint="eastAsia" w:ascii="仿宋_GB2312" w:hAnsi="仿宋_GB2312" w:eastAsia="仿宋_GB2312"/>
          <w:b/>
          <w:color w:val="auto"/>
          <w:highlight w:val="none"/>
          <w:lang w:val="en-US" w:eastAsia="zh-CN"/>
        </w:rPr>
        <w:t>3</w:t>
      </w:r>
      <w:r>
        <w:rPr>
          <w:rFonts w:hint="eastAsia" w:ascii="仿宋_GB2312" w:hAnsi="仿宋_GB2312" w:eastAsia="仿宋_GB2312"/>
          <w:b/>
          <w:color w:val="auto"/>
          <w:highlight w:val="none"/>
          <w:lang w:eastAsia="zh-CN"/>
        </w:rPr>
        <w:t>、投标人资格要求</w:t>
      </w:r>
      <w:bookmarkEnd w:id="4"/>
    </w:p>
    <w:p>
      <w:pPr>
        <w:snapToGrid w:val="0"/>
        <w:spacing w:line="360" w:lineRule="auto"/>
        <w:rPr>
          <w:rFonts w:hint="eastAsia" w:ascii="仿宋_GB2312" w:hAnsi="仿宋_GB2312" w:eastAsia="仿宋_GB2312"/>
          <w:b/>
          <w:color w:val="auto"/>
          <w:highlight w:val="none"/>
        </w:rPr>
      </w:pPr>
      <w:r>
        <w:rPr>
          <w:rFonts w:hint="eastAsia" w:ascii="仿宋_GB2312" w:hAnsi="仿宋_GB2312" w:eastAsia="仿宋_GB2312"/>
          <w:b/>
          <w:color w:val="auto"/>
          <w:highlight w:val="none"/>
        </w:rPr>
        <w:t xml:space="preserve">    3.1资格要求：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符合《中华人民共和国政府采购法》第二十二条规定，并同时具备下列条件：</w:t>
      </w:r>
    </w:p>
    <w:p>
      <w:pPr>
        <w:snapToGrid w:val="0"/>
        <w:spacing w:line="360" w:lineRule="auto"/>
        <w:ind w:firstLine="422"/>
        <w:rPr>
          <w:rFonts w:hint="eastAsia" w:ascii="仿宋_GB2312" w:hAnsi="仿宋_GB2312" w:eastAsia="仿宋_GB2312"/>
          <w:color w:val="auto"/>
          <w:highlight w:val="none"/>
        </w:rPr>
      </w:pPr>
      <w:r>
        <w:rPr>
          <w:rFonts w:hint="eastAsia" w:ascii="仿宋_GB2312" w:hAnsi="仿宋_GB2312" w:eastAsia="仿宋_GB2312"/>
          <w:b/>
          <w:color w:val="auto"/>
          <w:highlight w:val="none"/>
        </w:rPr>
        <w:t xml:space="preserve">3.1.1 </w:t>
      </w:r>
      <w:r>
        <w:rPr>
          <w:rFonts w:hint="eastAsia" w:ascii="仿宋_GB2312" w:hAnsi="仿宋_GB2312" w:eastAsia="仿宋_GB2312"/>
          <w:b/>
          <w:color w:val="auto"/>
          <w:highlight w:val="none"/>
          <w:shd w:val="clear" w:color="000000" w:fill="auto"/>
        </w:rPr>
        <w:t>资质要求</w:t>
      </w:r>
      <w:r>
        <w:rPr>
          <w:rFonts w:hint="eastAsia" w:ascii="仿宋_GB2312" w:hAnsi="仿宋_GB2312" w:eastAsia="仿宋_GB2312"/>
          <w:color w:val="auto"/>
          <w:highlight w:val="none"/>
        </w:rPr>
        <w:t>：</w:t>
      </w:r>
      <w:r>
        <w:rPr>
          <w:rFonts w:hint="eastAsia" w:ascii="仿宋_GB2312" w:hAnsi="仿宋_GB2312" w:eastAsia="仿宋_GB2312"/>
          <w:color w:val="auto"/>
          <w:highlight w:val="none"/>
          <w:shd w:val="clear" w:color="000000" w:fill="auto"/>
        </w:rPr>
        <w:t>须为</w:t>
      </w:r>
      <w:r>
        <w:rPr>
          <w:rFonts w:hint="eastAsia" w:ascii="仿宋_GB2312" w:hAnsi="仿宋_GB2312" w:eastAsia="仿宋_GB2312" w:cs="仿宋_GB2312"/>
          <w:color w:val="auto"/>
          <w:highlight w:val="none"/>
          <w:lang w:val="zh-TW" w:eastAsia="zh-TW"/>
        </w:rPr>
        <w:t>具有国家建设行政主管部门核发的</w:t>
      </w:r>
      <w:r>
        <w:rPr>
          <w:rFonts w:hint="eastAsia" w:ascii="仿宋_GB2312" w:hAnsi="仿宋_GB2312" w:eastAsia="仿宋_GB2312" w:cs="仿宋_GB2312"/>
          <w:color w:val="auto"/>
          <w:highlight w:val="none"/>
          <w:lang w:val="zh-TW" w:eastAsia="zh-CN"/>
        </w:rPr>
        <w:t>电力工程施工总承包叁级及以上资质或输变电工程专业承包三级及以上资质</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并同时具备国家能源局颁发（或原国家电力监管委员会）的电力设施施工《承装（修、试）电力设施许可证》承装叁级、承修叁级、承试叁级及以上资质，且具备有效的安全生产许可证书</w:t>
      </w:r>
      <w:r>
        <w:rPr>
          <w:rFonts w:hint="eastAsia" w:ascii="仿宋_GB2312" w:hAnsi="仿宋_GB2312" w:eastAsia="仿宋_GB2312"/>
          <w:color w:val="auto"/>
          <w:highlight w:val="none"/>
        </w:rPr>
        <w:t>。</w:t>
      </w:r>
    </w:p>
    <w:p>
      <w:pPr>
        <w:pStyle w:val="20"/>
        <w:widowControl/>
        <w:spacing w:after="0" w:line="360" w:lineRule="auto"/>
        <w:ind w:firstLine="470"/>
        <w:rPr>
          <w:color w:val="auto"/>
          <w:sz w:val="21"/>
          <w:szCs w:val="21"/>
          <w:highlight w:val="none"/>
        </w:rPr>
      </w:pPr>
      <w:r>
        <w:rPr>
          <w:rFonts w:hint="eastAsia" w:ascii="仿宋_GB2312" w:hAnsi="仿宋_GB2312" w:eastAsia="仿宋_GB2312"/>
          <w:b/>
          <w:color w:val="auto"/>
          <w:highlight w:val="none"/>
          <w:shd w:val="clear" w:color="000000" w:fill="auto"/>
        </w:rPr>
        <w:t>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rPr>
        <w:t>2 项目经理要求：</w:t>
      </w:r>
      <w:r>
        <w:rPr>
          <w:rFonts w:hint="eastAsia" w:ascii="仿宋_GB2312" w:hAnsi="仿宋_GB2312" w:eastAsia="仿宋_GB2312"/>
          <w:color w:val="auto"/>
          <w:highlight w:val="none"/>
          <w:shd w:val="clear" w:color="000000" w:fill="auto"/>
          <w:lang w:eastAsia="zh-CN"/>
        </w:rPr>
        <w:t>投标人拟派项目经理须为本单位注册的机电工程专业二级及以上注册建造师（不含临时建造师）</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同时具备有效的安全生产考核合格证书</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且拟派项目经理自本项目合同签订之日起至本项目施工完工期间不得同时担任其他在建工程项目经理</w:t>
      </w:r>
      <w:r>
        <w:rPr>
          <w:rFonts w:hint="eastAsia" w:ascii="仿宋_GB2312" w:hAnsi="仿宋_GB2312" w:eastAsia="仿宋_GB2312"/>
          <w:color w:val="auto"/>
          <w:highlight w:val="none"/>
          <w:shd w:val="clear" w:color="000000" w:fill="auto"/>
        </w:rPr>
        <w:t>。</w:t>
      </w:r>
    </w:p>
    <w:p>
      <w:pPr>
        <w:snapToGrid w:val="0"/>
        <w:spacing w:line="360" w:lineRule="auto"/>
        <w:ind w:firstLine="422"/>
        <w:rPr>
          <w:rFonts w:hint="eastAsia" w:ascii="仿宋_GB2312" w:hAnsi="仿宋_GB2312" w:eastAsia="仿宋_GB2312"/>
          <w:color w:val="auto"/>
          <w:highlight w:val="none"/>
          <w:shd w:val="clear" w:color="000000" w:fill="auto"/>
        </w:rPr>
      </w:pPr>
      <w:r>
        <w:rPr>
          <w:rFonts w:hint="eastAsia" w:ascii="仿宋_GB2312" w:hAnsi="仿宋_GB2312" w:eastAsia="仿宋_GB2312"/>
          <w:b/>
          <w:color w:val="auto"/>
          <w:highlight w:val="none"/>
          <w:shd w:val="clear" w:color="000000" w:fill="auto"/>
        </w:rPr>
        <w:t>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3</w:t>
      </w:r>
      <w:r>
        <w:rPr>
          <w:rFonts w:hint="eastAsia" w:ascii="仿宋_GB2312" w:hAnsi="仿宋_GB2312" w:eastAsia="仿宋_GB2312"/>
          <w:b/>
          <w:color w:val="auto"/>
          <w:highlight w:val="none"/>
          <w:shd w:val="clear" w:color="000000" w:fill="auto"/>
        </w:rPr>
        <w:t xml:space="preserve"> 财务要求：</w:t>
      </w:r>
      <w:r>
        <w:rPr>
          <w:rFonts w:hint="eastAsia" w:ascii="仿宋_GB2312" w:hAnsi="仿宋_GB2312" w:eastAsia="仿宋_GB2312"/>
          <w:color w:val="auto"/>
          <w:highlight w:val="none"/>
          <w:shd w:val="clear" w:color="000000" w:fill="auto"/>
          <w:lang w:eastAsia="zh-CN"/>
        </w:rPr>
        <w:t>投标人财务状况良好，提供2019年度审计报告，公司成立时间不足一年的，附自行出具的财务报表说明或2020年1月1日以来基本户银行出具的资信证明</w:t>
      </w:r>
      <w:r>
        <w:rPr>
          <w:rFonts w:hint="eastAsia" w:ascii="仿宋_GB2312" w:hAnsi="仿宋_GB2312" w:eastAsia="仿宋_GB2312"/>
          <w:color w:val="auto"/>
          <w:highlight w:val="none"/>
          <w:shd w:val="clear" w:color="000000" w:fill="auto"/>
        </w:rPr>
        <w:t>。</w:t>
      </w:r>
    </w:p>
    <w:p>
      <w:pPr>
        <w:snapToGrid w:val="0"/>
        <w:spacing w:line="360" w:lineRule="auto"/>
        <w:ind w:firstLine="422"/>
        <w:rPr>
          <w:rFonts w:hint="eastAsia" w:ascii="仿宋_GB2312" w:hAnsi="仿宋_GB2312" w:eastAsia="仿宋_GB2312"/>
          <w:color w:val="auto"/>
          <w:highlight w:val="none"/>
        </w:rPr>
      </w:pPr>
      <w:r>
        <w:rPr>
          <w:rFonts w:hint="eastAsia" w:ascii="仿宋_GB2312" w:hAnsi="仿宋_GB2312" w:eastAsia="仿宋_GB2312"/>
          <w:b/>
          <w:color w:val="auto"/>
          <w:highlight w:val="none"/>
          <w:shd w:val="clear" w:color="000000" w:fill="auto"/>
        </w:rPr>
        <w:t>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4</w:t>
      </w:r>
      <w:r>
        <w:rPr>
          <w:rFonts w:hint="eastAsia" w:ascii="仿宋_GB2312" w:hAnsi="仿宋_GB2312" w:eastAsia="仿宋_GB2312"/>
          <w:b/>
          <w:color w:val="auto"/>
          <w:highlight w:val="none"/>
          <w:shd w:val="clear" w:color="000000" w:fill="auto"/>
        </w:rPr>
        <w:t xml:space="preserve"> 信誉要求：</w:t>
      </w:r>
      <w:r>
        <w:rPr>
          <w:rFonts w:hint="eastAsia" w:ascii="仿宋_GB2312" w:hAnsi="仿宋_GB2312" w:eastAsia="仿宋_GB2312"/>
          <w:color w:val="auto"/>
          <w:highlight w:val="none"/>
        </w:rPr>
        <w:t>具有良好的商业信誉，没有处于被责令停业，投标资格被取消，财产被接管、冻结，破产状态；参加政府采购活动前三年内，在经营活动中没有重大违法记录，无骗取中标或严重违约或重大工程质量问题。</w:t>
      </w:r>
    </w:p>
    <w:p>
      <w:pPr>
        <w:snapToGrid w:val="0"/>
        <w:spacing w:line="360" w:lineRule="auto"/>
        <w:ind w:firstLine="422"/>
        <w:rPr>
          <w:rFonts w:hint="eastAsia" w:ascii="仿宋_GB2312" w:hAnsi="仿宋_GB2312" w:eastAsia="仿宋_GB2312"/>
          <w:b/>
          <w:color w:val="auto"/>
          <w:highlight w:val="none"/>
          <w:shd w:val="clear" w:color="000000" w:fill="FFFFFF"/>
        </w:rPr>
      </w:pPr>
      <w:r>
        <w:rPr>
          <w:rFonts w:hint="eastAsia" w:ascii="仿宋_GB2312" w:hAnsi="仿宋_GB2312" w:eastAsia="仿宋_GB2312"/>
          <w:b/>
          <w:color w:val="auto"/>
          <w:highlight w:val="none"/>
          <w:shd w:val="clear" w:color="000000" w:fill="auto"/>
        </w:rPr>
        <w:t>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 xml:space="preserve"> 其它要求：</w:t>
      </w:r>
    </w:p>
    <w:p>
      <w:pPr>
        <w:snapToGrid w:val="0"/>
        <w:spacing w:line="360" w:lineRule="auto"/>
        <w:ind w:firstLine="422"/>
        <w:rPr>
          <w:rFonts w:hint="eastAsia" w:ascii="仿宋_GB2312" w:hAnsi="仿宋_GB2312" w:eastAsia="仿宋_GB2312"/>
          <w:b/>
          <w:color w:val="auto"/>
          <w:highlight w:val="none"/>
          <w:shd w:val="clear" w:color="000000" w:fill="FFFFFF"/>
        </w:rPr>
      </w:pPr>
      <w:r>
        <w:rPr>
          <w:rFonts w:hint="eastAsia" w:ascii="仿宋_GB2312" w:hAnsi="仿宋_GB2312" w:eastAsia="仿宋_GB2312"/>
          <w:b/>
          <w:color w:val="auto"/>
          <w:highlight w:val="none"/>
          <w:shd w:val="clear" w:color="000000" w:fill="auto"/>
        </w:rPr>
        <w:t xml:space="preserve">  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 xml:space="preserve">.1 </w:t>
      </w:r>
      <w:r>
        <w:rPr>
          <w:rFonts w:hint="eastAsia" w:ascii="仿宋_GB2312" w:hAnsi="仿宋_GB2312" w:eastAsia="仿宋_GB2312"/>
          <w:color w:val="auto"/>
          <w:highlight w:val="none"/>
          <w:shd w:val="clear" w:color="000000" w:fill="auto"/>
        </w:rPr>
        <w:t>委托代理人（如有）、项目经理应是本单位在职员工，在投标企业办理有劳动合同关系（提供劳动合同）、缴纳社会保险（提供</w:t>
      </w:r>
      <w:r>
        <w:rPr>
          <w:rFonts w:hint="eastAsia" w:ascii="仿宋_GB2312" w:hAnsi="仿宋_GB2312" w:eastAsia="仿宋_GB2312"/>
          <w:color w:val="auto"/>
          <w:highlight w:val="none"/>
          <w:shd w:val="clear" w:color="000000" w:fill="auto"/>
          <w:lang w:eastAsia="zh-CN"/>
        </w:rPr>
        <w:t>个人社保缴纳证明</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rPr>
        <w:t>。</w:t>
      </w:r>
    </w:p>
    <w:p>
      <w:pPr>
        <w:snapToGrid w:val="0"/>
        <w:spacing w:line="360" w:lineRule="auto"/>
        <w:ind w:firstLine="422"/>
        <w:rPr>
          <w:rFonts w:hint="eastAsia" w:ascii="仿宋_GB2312" w:hAnsi="仿宋_GB2312" w:eastAsia="仿宋_GB2312"/>
          <w:color w:val="auto"/>
          <w:highlight w:val="none"/>
        </w:rPr>
      </w:pPr>
      <w:r>
        <w:rPr>
          <w:rFonts w:hint="eastAsia" w:ascii="仿宋_GB2312" w:hAnsi="仿宋_GB2312" w:eastAsia="仿宋_GB2312"/>
          <w:b/>
          <w:color w:val="auto"/>
          <w:highlight w:val="none"/>
          <w:shd w:val="clear" w:color="000000" w:fill="auto"/>
        </w:rPr>
        <w:t xml:space="preserve">  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 xml:space="preserve">.2 </w:t>
      </w:r>
      <w:r>
        <w:rPr>
          <w:rFonts w:hint="eastAsia" w:ascii="仿宋_GB2312" w:hAnsi="仿宋_GB2312" w:eastAsia="仿宋_GB2312"/>
          <w:color w:val="auto"/>
          <w:highlight w:val="none"/>
          <w:lang w:eastAsia="zh-CN"/>
        </w:rPr>
        <w:t>根据《关于在政府采购活动中查询及使用信用记录有关问题的通知》(财库[2016]125号) 和豫财购【2016】15号的规定，对列入失信被执行人和重大税收违法案件当事人名单（查询网址“信用中国”网（www.creditchina.gov.cn））、政府采购严重违法失信行为记录名单处罚期限尚未届满的（查询网址“中国政府采购”网（www.ccgp.gov.cn）的投标人，拒绝其参与本招标项目</w:t>
      </w:r>
      <w:r>
        <w:rPr>
          <w:rFonts w:hint="eastAsia" w:ascii="仿宋_GB2312" w:hAnsi="仿宋_GB2312" w:eastAsia="仿宋_GB2312"/>
          <w:color w:val="auto"/>
          <w:highlight w:val="none"/>
        </w:rPr>
        <w:t>。</w:t>
      </w:r>
    </w:p>
    <w:p>
      <w:pPr>
        <w:snapToGrid w:val="0"/>
        <w:spacing w:line="360" w:lineRule="auto"/>
        <w:ind w:firstLine="422"/>
        <w:rPr>
          <w:rFonts w:hint="eastAsia" w:ascii="仿宋_GB2312" w:hAnsi="仿宋_GB2312" w:eastAsia="仿宋_GB2312"/>
          <w:color w:val="auto"/>
          <w:highlight w:val="none"/>
        </w:rPr>
      </w:pPr>
      <w:r>
        <w:rPr>
          <w:rFonts w:hint="eastAsia" w:ascii="仿宋_GB2312" w:hAnsi="仿宋_GB2312" w:eastAsia="仿宋_GB2312"/>
          <w:b/>
          <w:color w:val="auto"/>
          <w:highlight w:val="none"/>
          <w:shd w:val="clear" w:color="000000" w:fill="auto"/>
        </w:rPr>
        <w:t>3</w:t>
      </w:r>
      <w:r>
        <w:rPr>
          <w:rFonts w:hint="eastAsia" w:ascii="仿宋_GB2312" w:hAnsi="仿宋_GB2312" w:eastAsia="仿宋_GB2312"/>
          <w:b/>
          <w:color w:val="auto"/>
          <w:highlight w:val="none"/>
        </w:rPr>
        <w:t>.1.</w:t>
      </w:r>
      <w:r>
        <w:rPr>
          <w:rFonts w:hint="eastAsia" w:ascii="仿宋_GB2312" w:hAnsi="仿宋_GB2312" w:eastAsia="仿宋_GB2312"/>
          <w:b/>
          <w:color w:val="auto"/>
          <w:highlight w:val="none"/>
          <w:shd w:val="clear" w:color="000000" w:fill="auto"/>
          <w:lang w:val="en-US" w:eastAsia="zh-CN"/>
        </w:rPr>
        <w:t>6</w:t>
      </w:r>
      <w:r>
        <w:rPr>
          <w:rFonts w:hint="eastAsia" w:ascii="仿宋_GB2312" w:hAnsi="仿宋_GB2312" w:eastAsia="仿宋_GB2312"/>
          <w:bCs/>
          <w:color w:val="auto"/>
          <w:highlight w:val="none"/>
        </w:rPr>
        <w:t>单位负责人为同一人或者存在控股、管理关系的不同单位，不得同时参加本项目同一标段的投标或未划分多个标段的同一项目的投标；为本项目前期准备提供设计或咨询服务的不得参加本招标项目投标。</w:t>
      </w:r>
    </w:p>
    <w:p>
      <w:pPr>
        <w:snapToGrid w:val="0"/>
        <w:spacing w:line="360" w:lineRule="auto"/>
        <w:ind w:firstLine="42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3.1.</w:t>
      </w:r>
      <w:r>
        <w:rPr>
          <w:rFonts w:hint="eastAsia" w:ascii="仿宋_GB2312" w:hAnsi="仿宋_GB2312" w:eastAsia="仿宋_GB2312"/>
          <w:b/>
          <w:color w:val="auto"/>
          <w:highlight w:val="none"/>
          <w:lang w:val="en-US" w:eastAsia="zh-CN"/>
        </w:rPr>
        <w:t>7</w:t>
      </w:r>
      <w:r>
        <w:rPr>
          <w:rFonts w:hint="eastAsia" w:ascii="仿宋_GB2312" w:hAnsi="仿宋_GB2312" w:eastAsia="仿宋_GB2312"/>
          <w:b/>
          <w:color w:val="auto"/>
          <w:highlight w:val="none"/>
        </w:rPr>
        <w:t xml:space="preserve"> </w:t>
      </w:r>
      <w:r>
        <w:rPr>
          <w:rFonts w:hint="eastAsia" w:ascii="仿宋_GB2312" w:hAnsi="仿宋_GB2312" w:eastAsia="仿宋_GB2312"/>
          <w:bCs/>
          <w:color w:val="auto"/>
          <w:highlight w:val="none"/>
        </w:rPr>
        <w:t>本次招标不接受联合体投标。</w:t>
      </w:r>
    </w:p>
    <w:p>
      <w:pPr>
        <w:snapToGrid w:val="0"/>
        <w:spacing w:line="360" w:lineRule="auto"/>
        <w:outlineLvl w:val="1"/>
        <w:rPr>
          <w:rFonts w:hint="eastAsia" w:ascii="仿宋_GB2312" w:hAnsi="仿宋_GB2312" w:eastAsia="仿宋_GB2312"/>
          <w:color w:val="auto"/>
          <w:highlight w:val="none"/>
        </w:rPr>
      </w:pPr>
      <w:bookmarkStart w:id="5" w:name="_Toc5042"/>
      <w:r>
        <w:rPr>
          <w:rFonts w:hint="eastAsia" w:ascii="仿宋_GB2312" w:hAnsi="仿宋_GB2312" w:eastAsia="仿宋_GB2312"/>
          <w:b/>
          <w:color w:val="auto"/>
          <w:highlight w:val="none"/>
          <w:lang w:val="en-US" w:eastAsia="zh-CN"/>
        </w:rPr>
        <w:t>4</w:t>
      </w:r>
      <w:r>
        <w:rPr>
          <w:rFonts w:hint="eastAsia" w:ascii="仿宋_GB2312" w:hAnsi="仿宋_GB2312" w:eastAsia="仿宋_GB2312"/>
          <w:b/>
          <w:color w:val="auto"/>
          <w:highlight w:val="none"/>
        </w:rPr>
        <w:t>、招标文件的获取</w:t>
      </w:r>
      <w:bookmarkEnd w:id="5"/>
    </w:p>
    <w:p>
      <w:pPr>
        <w:numPr>
          <w:ilvl w:val="0"/>
          <w:numId w:val="1"/>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highlight w:val="none"/>
          <w:lang w:eastAsia="zh-CN"/>
        </w:rPr>
        <w:t>2020年7月</w:t>
      </w:r>
      <w:r>
        <w:rPr>
          <w:rFonts w:hint="eastAsia" w:ascii="仿宋" w:hAnsi="仿宋" w:eastAsia="仿宋" w:cs="仿宋"/>
          <w:color w:val="auto"/>
          <w:highlight w:val="none"/>
          <w:lang w:val="en-US" w:eastAsia="zh-CN"/>
        </w:rPr>
        <w:t>31</w:t>
      </w:r>
      <w:r>
        <w:rPr>
          <w:rFonts w:hint="eastAsia" w:ascii="仿宋" w:hAnsi="仿宋" w:eastAsia="仿宋" w:cs="仿宋"/>
          <w:color w:val="auto"/>
          <w:highlight w:val="none"/>
          <w:lang w:eastAsia="zh-CN"/>
        </w:rPr>
        <w:t>日至2020年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日</w:t>
      </w:r>
      <w:r>
        <w:rPr>
          <w:rFonts w:hint="eastAsia" w:ascii="仿宋" w:hAnsi="仿宋" w:eastAsia="仿宋" w:cs="仿宋"/>
          <w:color w:val="auto"/>
          <w:highlight w:val="none"/>
        </w:rPr>
        <w:t>（北京时间）</w:t>
      </w:r>
    </w:p>
    <w:p>
      <w:pPr>
        <w:numPr>
          <w:ilvl w:val="0"/>
          <w:numId w:val="1"/>
        </w:numPr>
        <w:spacing w:line="360" w:lineRule="auto"/>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地点：登录“河南省公共资源交易中心（</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"http://www.hnggzy.com/"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http://www.hnggzy.com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）”下载。</w:t>
      </w:r>
    </w:p>
    <w:p>
      <w:pPr>
        <w:numPr>
          <w:ilvl w:val="0"/>
          <w:numId w:val="1"/>
        </w:num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方式：（1）登录“河南省公共资源交易中心（</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"http://www.hnggzy.com/" \h </w:instrText>
      </w:r>
      <w:r>
        <w:rPr>
          <w:rFonts w:hint="eastAsia" w:ascii="仿宋" w:hAnsi="仿宋" w:eastAsia="仿宋" w:cs="仿宋"/>
          <w:color w:val="auto"/>
          <w:highlight w:val="none"/>
        </w:rPr>
        <w:fldChar w:fldCharType="separate"/>
      </w:r>
      <w:r>
        <w:rPr>
          <w:rFonts w:hint="eastAsia" w:ascii="仿宋" w:hAnsi="仿宋" w:eastAsia="仿宋" w:cs="仿宋"/>
          <w:color w:val="auto"/>
          <w:highlight w:val="none"/>
        </w:rPr>
        <w:t>http://www.hnggzy.com</w:t>
      </w:r>
      <w:r>
        <w:rPr>
          <w:rFonts w:hint="eastAsia" w:ascii="仿宋" w:hAnsi="仿宋" w:eastAsia="仿宋" w:cs="仿宋"/>
          <w:color w:val="auto"/>
          <w:highlight w:val="none"/>
        </w:rPr>
        <w:fldChar w:fldCharType="end"/>
      </w:r>
      <w:r>
        <w:rPr>
          <w:rFonts w:hint="eastAsia" w:ascii="仿宋" w:hAnsi="仿宋" w:eastAsia="仿宋" w:cs="仿宋"/>
          <w:color w:val="auto"/>
          <w:highlight w:val="none"/>
        </w:rPr>
        <w:t>）”网上，凭领取的企业身份认证锁（CA 密钥）下载招标文件.（2）投标人（供应商）应首先完成用户号名的注册，然后办理CA数字证书（具体事宜请查阅河南省公共资源交易中心网站“办事指南”专区的《河南省公共资源交易平台市场主体信息库登记指南（工程建设、政府采购）》）；完成办理CA数字证书后，点击中心网站首页的【市场主体登录】按钮，使用CA数字证书登录“河南省公共资源交易中心-市场主体系统”，录入基本信息并扫描上传相关证件。（3）CA 数字证书及电子签章由 河南省信息化发展有限公司（河南省信息安全电子认证中心）办理，办理地址为郑州市平安大道与明理路交叉口西南角博雅广场4号楼15楼，咨询电话： 0371-86109777。（4）获取招标文件后，投标人请到河南省公共资源交易中心网站—公共服务—下载专区栏目下载最新版本的投标文件制作工具安装包，并使用安装后的最新版本投标文件制作工具制作电子投标文件。</w:t>
      </w:r>
    </w:p>
    <w:p>
      <w:pPr>
        <w:snapToGrid w:val="0"/>
        <w:spacing w:line="360" w:lineRule="auto"/>
        <w:outlineLvl w:val="1"/>
        <w:rPr>
          <w:rFonts w:hint="eastAsia" w:ascii="仿宋_GB2312" w:hAnsi="仿宋_GB2312" w:eastAsia="仿宋_GB2312"/>
          <w:color w:val="auto"/>
          <w:highlight w:val="none"/>
        </w:rPr>
      </w:pPr>
      <w:bookmarkStart w:id="6" w:name="_Toc27785"/>
      <w:r>
        <w:rPr>
          <w:rFonts w:hint="eastAsia" w:ascii="仿宋_GB2312" w:hAnsi="仿宋_GB2312" w:eastAsia="仿宋_GB2312"/>
          <w:b/>
          <w:color w:val="auto"/>
          <w:highlight w:val="none"/>
          <w:lang w:val="en-US" w:eastAsia="zh-CN"/>
        </w:rPr>
        <w:t>5</w:t>
      </w:r>
      <w:r>
        <w:rPr>
          <w:rFonts w:hint="eastAsia" w:ascii="仿宋_GB2312" w:hAnsi="仿宋_GB2312" w:eastAsia="仿宋_GB2312"/>
          <w:b/>
          <w:color w:val="auto"/>
          <w:highlight w:val="none"/>
        </w:rPr>
        <w:t>、投标文件的递交</w:t>
      </w:r>
      <w:bookmarkEnd w:id="6"/>
    </w:p>
    <w:p>
      <w:pPr>
        <w:pStyle w:val="40"/>
        <w:tabs>
          <w:tab w:val="left" w:pos="1243"/>
        </w:tabs>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1.电子投标文件上传的截止时间：</w:t>
      </w:r>
      <w:r>
        <w:rPr>
          <w:rFonts w:hint="eastAsia" w:ascii="仿宋" w:hAnsi="仿宋" w:eastAsia="仿宋" w:cs="仿宋"/>
          <w:color w:val="auto"/>
          <w:sz w:val="24"/>
          <w:highlight w:val="none"/>
          <w:lang w:eastAsia="zh-CN"/>
        </w:rPr>
        <w:t>2020年8月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日9时00分</w:t>
      </w:r>
      <w:r>
        <w:rPr>
          <w:rFonts w:hint="eastAsia" w:ascii="仿宋" w:hAnsi="仿宋" w:eastAsia="仿宋" w:cs="仿宋"/>
          <w:color w:val="auto"/>
          <w:sz w:val="24"/>
          <w:highlight w:val="none"/>
        </w:rPr>
        <w:t>（北京时间），加密电子投标文件须在河南省公共资源交易中心交易系统中加密上传,加密电子投标文件逾期上传的，采购人不予受理。</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2.地点：河南省公共资源交易中心（郑州市农业路东41号投资大厦 A 座）</w:t>
      </w:r>
      <w:r>
        <w:rPr>
          <w:rFonts w:hint="eastAsia" w:ascii="仿宋" w:hAnsi="仿宋" w:eastAsia="仿宋" w:cs="仿宋"/>
          <w:color w:val="auto"/>
          <w:highlight w:val="none"/>
          <w:lang w:val="en-US" w:eastAsia="zh-CN"/>
        </w:rPr>
        <w:t>第3</w:t>
      </w:r>
      <w:r>
        <w:rPr>
          <w:rFonts w:hint="eastAsia" w:ascii="仿宋" w:hAnsi="仿宋" w:eastAsia="仿宋" w:cs="仿宋"/>
          <w:color w:val="auto"/>
          <w:highlight w:val="none"/>
        </w:rPr>
        <w:t>开标室。</w:t>
      </w:r>
    </w:p>
    <w:p>
      <w:pPr>
        <w:snapToGrid w:val="0"/>
        <w:spacing w:line="360" w:lineRule="auto"/>
        <w:outlineLvl w:val="1"/>
        <w:rPr>
          <w:rFonts w:hint="eastAsia" w:ascii="仿宋_GB2312" w:hAnsi="仿宋_GB2312" w:eastAsia="仿宋_GB2312"/>
          <w:b/>
          <w:color w:val="auto"/>
          <w:highlight w:val="none"/>
        </w:rPr>
      </w:pPr>
      <w:bookmarkStart w:id="7" w:name="_Toc1698"/>
      <w:r>
        <w:rPr>
          <w:rFonts w:hint="eastAsia" w:ascii="仿宋_GB2312" w:hAnsi="仿宋_GB2312" w:eastAsia="仿宋_GB2312"/>
          <w:b/>
          <w:color w:val="auto"/>
          <w:highlight w:val="none"/>
          <w:lang w:val="en-US" w:eastAsia="zh-CN"/>
        </w:rPr>
        <w:t>6</w:t>
      </w:r>
      <w:r>
        <w:rPr>
          <w:rFonts w:hint="eastAsia" w:ascii="仿宋_GB2312" w:hAnsi="仿宋_GB2312" w:eastAsia="仿宋_GB2312"/>
          <w:b/>
          <w:color w:val="auto"/>
          <w:highlight w:val="none"/>
        </w:rPr>
        <w:t>、开标时间及地点</w:t>
      </w:r>
      <w:bookmarkEnd w:id="7"/>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1.时间：</w:t>
      </w:r>
      <w:r>
        <w:rPr>
          <w:rFonts w:hint="eastAsia" w:ascii="仿宋" w:hAnsi="仿宋" w:eastAsia="仿宋" w:cs="仿宋"/>
          <w:color w:val="auto"/>
          <w:sz w:val="24"/>
          <w:highlight w:val="none"/>
          <w:lang w:eastAsia="zh-CN"/>
        </w:rPr>
        <w:t>2020年8月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lang w:eastAsia="zh-CN"/>
        </w:rPr>
        <w:t>日9时00分</w:t>
      </w:r>
      <w:r>
        <w:rPr>
          <w:rFonts w:hint="eastAsia" w:ascii="仿宋" w:hAnsi="仿宋" w:eastAsia="仿宋" w:cs="仿宋"/>
          <w:color w:val="auto"/>
          <w:highlight w:val="none"/>
        </w:rPr>
        <w:t>（北京时间）</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2.地点：河南省公共资源交易中心（郑州市农业路东41号投资大厦 A 座）</w:t>
      </w:r>
      <w:r>
        <w:rPr>
          <w:rFonts w:hint="eastAsia" w:ascii="仿宋" w:hAnsi="仿宋" w:eastAsia="仿宋" w:cs="仿宋"/>
          <w:color w:val="auto"/>
          <w:highlight w:val="none"/>
          <w:lang w:val="en-US" w:eastAsia="zh-CN"/>
        </w:rPr>
        <w:t>第3</w:t>
      </w:r>
      <w:r>
        <w:rPr>
          <w:rFonts w:hint="eastAsia" w:ascii="仿宋" w:hAnsi="仿宋" w:eastAsia="仿宋" w:cs="仿宋"/>
          <w:color w:val="auto"/>
          <w:highlight w:val="none"/>
        </w:rPr>
        <w:t>开标室。</w:t>
      </w:r>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3.其他有关事项：本次采购项目采用远程不见面开标方式，请各投标人在招标文件确定的投标截止时间前，登录远程开标大厅网址（www.hnggzyjy.cn）， 在线准时参加开标活动并在规定时间内进行投标文件解密、答疑澄清（如有）、二次报价（如有）等活动，在规定时间内投标文件未解密的投标人，视为放弃投标。不见面服务的具体事宜请查阅河南省公共资源交易中心网站“办事指南”专区的《河南省公共资源交易平台不见面服务系统使用指南》。</w:t>
      </w:r>
    </w:p>
    <w:p>
      <w:pPr>
        <w:pStyle w:val="10"/>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4.由于项目为远程开标，在开标（投标截止时间）前，投标人需上传加密电子响应文件。</w:t>
      </w:r>
    </w:p>
    <w:p>
      <w:pPr>
        <w:snapToGrid w:val="0"/>
        <w:spacing w:line="360" w:lineRule="auto"/>
        <w:outlineLvl w:val="1"/>
        <w:rPr>
          <w:rFonts w:hint="eastAsia" w:ascii="仿宋_GB2312" w:hAnsi="仿宋_GB2312" w:eastAsia="仿宋_GB2312"/>
          <w:color w:val="auto"/>
          <w:highlight w:val="none"/>
        </w:rPr>
      </w:pPr>
      <w:bookmarkStart w:id="8" w:name="_Toc25708"/>
      <w:r>
        <w:rPr>
          <w:rFonts w:hint="eastAsia" w:ascii="仿宋_GB2312" w:hAnsi="仿宋_GB2312" w:eastAsia="仿宋_GB2312"/>
          <w:b/>
          <w:color w:val="auto"/>
          <w:highlight w:val="none"/>
          <w:lang w:val="en-US" w:eastAsia="zh-CN"/>
        </w:rPr>
        <w:t>7</w:t>
      </w:r>
      <w:r>
        <w:rPr>
          <w:rFonts w:hint="eastAsia" w:ascii="仿宋_GB2312" w:hAnsi="仿宋_GB2312" w:eastAsia="仿宋_GB2312"/>
          <w:b/>
          <w:color w:val="auto"/>
          <w:highlight w:val="none"/>
        </w:rPr>
        <w:t>、发布公告媒介</w:t>
      </w:r>
      <w:bookmarkEnd w:id="8"/>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本次招标公告同时在《河南省政府采购网》、《中国政府采购网》、《河南省公共资源交易中心》。</w:t>
      </w:r>
    </w:p>
    <w:p>
      <w:pPr>
        <w:keepNext/>
        <w:keepLines/>
        <w:snapToGrid w:val="0"/>
        <w:spacing w:line="360" w:lineRule="auto"/>
        <w:outlineLvl w:val="1"/>
        <w:rPr>
          <w:rFonts w:hint="eastAsia" w:ascii="仿宋_GB2312" w:hAnsi="仿宋_GB2312" w:eastAsia="仿宋_GB2312"/>
          <w:b/>
          <w:color w:val="auto"/>
          <w:highlight w:val="none"/>
        </w:rPr>
      </w:pPr>
      <w:bookmarkStart w:id="9" w:name="_Toc14586"/>
      <w:r>
        <w:rPr>
          <w:rFonts w:hint="eastAsia" w:ascii="仿宋_GB2312" w:hAnsi="仿宋_GB2312" w:eastAsia="仿宋_GB2312"/>
          <w:b/>
          <w:color w:val="auto"/>
          <w:highlight w:val="none"/>
          <w:lang w:val="en-US" w:eastAsia="zh-CN"/>
        </w:rPr>
        <w:t>8</w:t>
      </w:r>
      <w:r>
        <w:rPr>
          <w:rFonts w:hint="eastAsia" w:ascii="仿宋_GB2312" w:hAnsi="仿宋_GB2312" w:eastAsia="仿宋_GB2312"/>
          <w:b/>
          <w:color w:val="auto"/>
          <w:highlight w:val="none"/>
        </w:rPr>
        <w:t>、联系方式</w:t>
      </w:r>
      <w:bookmarkEnd w:id="9"/>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招    标  人：华北水利水电大学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地        址：</w:t>
      </w:r>
      <w:r>
        <w:rPr>
          <w:rFonts w:hint="eastAsia" w:ascii="仿宋" w:hAnsi="仿宋" w:eastAsia="仿宋" w:cs="仿宋"/>
          <w:color w:val="auto"/>
          <w:highlight w:val="none"/>
        </w:rPr>
        <w:t>郑州市龙子湖高校园区华北水利水电大学南门东侧综合楼六楼南612室</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邮 政  编 码：450000</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联    系  人：秦老师</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电        话：0371-65790261</w:t>
      </w:r>
    </w:p>
    <w:p>
      <w:pPr>
        <w:snapToGrid w:val="0"/>
        <w:spacing w:line="360" w:lineRule="auto"/>
        <w:ind w:left="5162" w:hanging="4725"/>
        <w:rPr>
          <w:rFonts w:hint="eastAsia" w:ascii="仿宋" w:hAnsi="仿宋" w:eastAsia="仿宋" w:cs="仿宋"/>
          <w:color w:val="auto"/>
          <w:highlight w:val="none"/>
        </w:rPr>
      </w:pPr>
      <w:r>
        <w:rPr>
          <w:rFonts w:hint="eastAsia" w:ascii="仿宋_GB2312" w:hAnsi="仿宋_GB2312" w:eastAsia="仿宋_GB2312"/>
          <w:color w:val="auto"/>
          <w:highlight w:val="none"/>
        </w:rPr>
        <w:t>招标代理</w:t>
      </w:r>
      <w:r>
        <w:rPr>
          <w:rFonts w:hint="eastAsia" w:ascii="仿宋" w:hAnsi="仿宋" w:eastAsia="仿宋" w:cs="仿宋"/>
          <w:color w:val="auto"/>
          <w:highlight w:val="none"/>
        </w:rPr>
        <w:t xml:space="preserve">机构：鑫诚国际工程咨询有限公司 </w:t>
      </w:r>
    </w:p>
    <w:p>
      <w:pPr>
        <w:snapToGrid w:val="0"/>
        <w:spacing w:line="360" w:lineRule="auto"/>
        <w:ind w:left="5162" w:hanging="4725"/>
        <w:rPr>
          <w:rFonts w:hint="eastAsia" w:ascii="仿宋" w:hAnsi="仿宋" w:eastAsia="仿宋" w:cs="仿宋"/>
          <w:color w:val="auto"/>
          <w:highlight w:val="none"/>
        </w:rPr>
      </w:pPr>
      <w:r>
        <w:rPr>
          <w:rFonts w:hint="eastAsia" w:ascii="仿宋" w:hAnsi="仿宋" w:eastAsia="仿宋" w:cs="仿宋"/>
          <w:color w:val="auto"/>
          <w:highlight w:val="none"/>
        </w:rPr>
        <w:t xml:space="preserve">地        址：郑州市优胜南路26号国奥大厦8层801室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邮        编：450003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联   系   人：聂先生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电        话：0371-56662101、0371-56661303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传        真：/ </w:t>
      </w:r>
    </w:p>
    <w:p>
      <w:pPr>
        <w:snapToGrid w:val="0"/>
        <w:spacing w:line="360" w:lineRule="auto"/>
        <w:ind w:left="5162"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电 子  邮 件：</w:t>
      </w:r>
      <w:r>
        <w:rPr>
          <w:rFonts w:hint="eastAsia" w:ascii="仿宋_GB2312" w:hAnsi="仿宋_GB2312" w:eastAsia="仿宋_GB2312"/>
          <w:color w:val="auto"/>
          <w:highlight w:val="none"/>
        </w:rPr>
        <w:fldChar w:fldCharType="begin" w:fldLock="1"/>
      </w:r>
      <w:r>
        <w:rPr>
          <w:rFonts w:hint="eastAsia" w:ascii="仿宋_GB2312" w:hAnsi="仿宋_GB2312" w:eastAsia="仿宋_GB2312"/>
          <w:color w:val="auto"/>
          <w:highlight w:val="none"/>
        </w:rPr>
        <w:instrText xml:space="preserve"> HYPERLINK \l "mailto:junxun14@163.com" </w:instrText>
      </w:r>
      <w:r>
        <w:rPr>
          <w:rFonts w:hint="eastAsia" w:ascii="仿宋_GB2312" w:hAnsi="仿宋_GB2312" w:eastAsia="仿宋_GB2312"/>
          <w:color w:val="auto"/>
          <w:highlight w:val="none"/>
        </w:rPr>
        <w:fldChar w:fldCharType="separate"/>
      </w:r>
      <w:r>
        <w:rPr>
          <w:rFonts w:hint="eastAsia" w:ascii="仿宋_GB2312" w:hAnsi="仿宋_GB2312" w:eastAsia="仿宋_GB2312"/>
          <w:color w:val="auto"/>
          <w:highlight w:val="none"/>
        </w:rPr>
        <w:t>junxun14@163.com</w:t>
      </w:r>
      <w:r>
        <w:rPr>
          <w:rFonts w:hint="eastAsia" w:ascii="仿宋_GB2312" w:hAnsi="仿宋_GB2312" w:eastAsia="仿宋_GB2312"/>
          <w:color w:val="auto"/>
          <w:highlight w:val="none"/>
        </w:rPr>
        <w:fldChar w:fldCharType="end"/>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开 户  银 行：招商银行经三路支行</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账        号：758371812699810105</w:t>
      </w:r>
    </w:p>
    <w:p>
      <w:pPr>
        <w:snapToGrid w:val="0"/>
        <w:spacing w:line="360" w:lineRule="auto"/>
        <w:jc w:val="right"/>
        <w:rPr>
          <w:rFonts w:hint="eastAsia" w:ascii="仿宋_GB2312" w:hAnsi="仿宋_GB2312" w:eastAsia="仿宋_GB2312"/>
          <w:color w:val="auto"/>
          <w:highlight w:val="none"/>
        </w:rPr>
      </w:pPr>
      <w:r>
        <w:rPr>
          <w:rFonts w:hint="eastAsia" w:ascii="仿宋_GB2312" w:hAnsi="仿宋_GB2312" w:eastAsia="仿宋_GB2312"/>
          <w:color w:val="auto"/>
          <w:highlight w:val="none"/>
        </w:rPr>
        <w:t>张俊</w:t>
      </w:r>
    </w:p>
    <w:p>
      <w:pPr>
        <w:snapToGrid w:val="0"/>
        <w:spacing w:line="360" w:lineRule="auto"/>
        <w:jc w:val="right"/>
        <w:rPr>
          <w:rFonts w:hint="eastAsia" w:ascii="仿宋_GB2312" w:hAnsi="仿宋_GB2312" w:eastAsia="仿宋_GB2312"/>
          <w:color w:val="auto"/>
          <w:highlight w:val="none"/>
        </w:rPr>
      </w:pPr>
      <w:r>
        <w:rPr>
          <w:rFonts w:hint="eastAsia" w:ascii="仿宋_GB2312" w:hAnsi="仿宋_GB2312" w:eastAsia="仿宋_GB2312"/>
          <w:color w:val="auto"/>
          <w:highlight w:val="none"/>
        </w:rPr>
        <w:t>2020年</w:t>
      </w:r>
      <w:r>
        <w:rPr>
          <w:rFonts w:hint="eastAsia" w:ascii="仿宋_GB2312" w:hAnsi="仿宋_GB2312" w:eastAsia="仿宋_GB2312"/>
          <w:color w:val="auto"/>
          <w:highlight w:val="none"/>
          <w:lang w:val="en-US" w:eastAsia="zh-CN"/>
        </w:rPr>
        <w:t>7</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lang w:val="en-US" w:eastAsia="zh-CN"/>
        </w:rPr>
        <w:t>30</w:t>
      </w:r>
      <w:r>
        <w:rPr>
          <w:rFonts w:hint="eastAsia" w:ascii="仿宋_GB2312" w:hAnsi="仿宋_GB2312" w:eastAsia="仿宋_GB2312"/>
          <w:color w:val="auto"/>
          <w:highlight w:val="none"/>
        </w:rPr>
        <w:t>日</w:t>
      </w:r>
    </w:p>
    <w:p>
      <w:pPr>
        <w:snapToGrid w:val="0"/>
        <w:spacing w:line="360" w:lineRule="auto"/>
        <w:jc w:val="right"/>
        <w:rPr>
          <w:rFonts w:hint="eastAsia" w:ascii="仿宋_GB2312" w:hAnsi="仿宋_GB2312" w:eastAsia="仿宋_GB2312"/>
          <w:color w:val="auto"/>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snapToGrid w:val="0"/>
        <w:spacing w:line="360" w:lineRule="auto"/>
        <w:jc w:val="center"/>
        <w:rPr>
          <w:rFonts w:hint="eastAsia" w:ascii="仿宋_GB2312" w:hAnsi="仿宋_GB2312" w:eastAsia="仿宋_GB2312"/>
          <w:b/>
          <w:color w:val="auto"/>
          <w:sz w:val="32"/>
          <w:highlight w:val="none"/>
        </w:rPr>
      </w:pPr>
    </w:p>
    <w:p>
      <w:pPr>
        <w:pStyle w:val="22"/>
        <w:rPr>
          <w:rFonts w:hint="eastAsia"/>
          <w:color w:val="auto"/>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snapToGrid w:val="0"/>
        <w:spacing w:line="360" w:lineRule="auto"/>
        <w:jc w:val="center"/>
        <w:outlineLvl w:val="0"/>
        <w:rPr>
          <w:rFonts w:hint="eastAsia" w:ascii="仿宋_GB2312" w:hAnsi="仿宋_GB2312" w:eastAsia="仿宋_GB2312"/>
          <w:b/>
          <w:color w:val="auto"/>
          <w:sz w:val="32"/>
          <w:highlight w:val="none"/>
        </w:rPr>
      </w:pPr>
      <w:bookmarkStart w:id="10" w:name="_Toc23294"/>
      <w:r>
        <w:rPr>
          <w:rFonts w:hint="eastAsia" w:ascii="仿宋_GB2312" w:hAnsi="仿宋_GB2312" w:eastAsia="仿宋_GB2312"/>
          <w:b/>
          <w:color w:val="auto"/>
          <w:sz w:val="32"/>
          <w:highlight w:val="none"/>
        </w:rPr>
        <w:t>第二章  投标人须知</w:t>
      </w:r>
      <w:bookmarkEnd w:id="10"/>
    </w:p>
    <w:p>
      <w:pPr>
        <w:snapToGrid w:val="0"/>
        <w:spacing w:line="360" w:lineRule="auto"/>
        <w:jc w:val="center"/>
        <w:outlineLvl w:val="1"/>
        <w:rPr>
          <w:rFonts w:hint="eastAsia" w:ascii="仿宋_GB2312" w:hAnsi="仿宋_GB2312" w:eastAsia="仿宋_GB2312"/>
          <w:b/>
          <w:color w:val="auto"/>
          <w:highlight w:val="none"/>
        </w:rPr>
      </w:pPr>
      <w:bookmarkStart w:id="11" w:name="_Toc6555"/>
      <w:r>
        <w:rPr>
          <w:rFonts w:hint="eastAsia" w:ascii="仿宋_GB2312" w:hAnsi="仿宋_GB2312" w:eastAsia="仿宋_GB2312"/>
          <w:b/>
          <w:color w:val="auto"/>
          <w:highlight w:val="none"/>
        </w:rPr>
        <w:t>投标人须知前附表</w:t>
      </w:r>
      <w:bookmarkEnd w:id="11"/>
    </w:p>
    <w:tbl>
      <w:tblPr>
        <w:tblStyle w:val="23"/>
        <w:tblW w:w="9206" w:type="dxa"/>
        <w:jc w:val="center"/>
        <w:tblLayout w:type="fixed"/>
        <w:tblCellMar>
          <w:top w:w="0" w:type="dxa"/>
          <w:left w:w="0" w:type="dxa"/>
          <w:bottom w:w="0" w:type="dxa"/>
          <w:right w:w="0" w:type="dxa"/>
        </w:tblCellMar>
      </w:tblPr>
      <w:tblGrid>
        <w:gridCol w:w="908"/>
        <w:gridCol w:w="1856"/>
        <w:gridCol w:w="6442"/>
      </w:tblGrid>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b/>
                <w:color w:val="auto"/>
                <w:highlight w:val="none"/>
              </w:rPr>
            </w:pPr>
            <w:r>
              <w:rPr>
                <w:rFonts w:hint="eastAsia" w:ascii="仿宋_GB2312" w:hAnsi="仿宋_GB2312" w:eastAsia="仿宋_GB2312"/>
                <w:b/>
                <w:color w:val="auto"/>
                <w:highlight w:val="none"/>
              </w:rPr>
              <w:t>条款号</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b/>
                <w:color w:val="auto"/>
                <w:highlight w:val="none"/>
              </w:rPr>
            </w:pPr>
            <w:r>
              <w:rPr>
                <w:rFonts w:hint="eastAsia" w:ascii="仿宋_GB2312" w:hAnsi="仿宋_GB2312" w:eastAsia="仿宋_GB2312"/>
                <w:b/>
                <w:color w:val="auto"/>
                <w:highlight w:val="none"/>
              </w:rPr>
              <w:t>条款名称</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jc w:val="center"/>
              <w:rPr>
                <w:rFonts w:hint="eastAsia" w:ascii="仿宋_GB2312" w:hAnsi="仿宋_GB2312" w:eastAsia="仿宋_GB2312"/>
                <w:b/>
                <w:color w:val="auto"/>
                <w:highlight w:val="none"/>
              </w:rPr>
            </w:pPr>
            <w:r>
              <w:rPr>
                <w:rFonts w:hint="eastAsia" w:ascii="仿宋_GB2312" w:hAnsi="仿宋_GB2312" w:eastAsia="仿宋_GB2312"/>
                <w:b/>
                <w:color w:val="auto"/>
                <w:highlight w:val="none"/>
              </w:rPr>
              <w:t>编  列  内  容</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招标人</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420" w:lineRule="exact"/>
              <w:ind w:left="4725"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招   标   人：华北水利水电大学</w:t>
            </w:r>
          </w:p>
          <w:p>
            <w:pPr>
              <w:snapToGrid w:val="0"/>
              <w:spacing w:line="42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地        址：郑州市龙子湖高校园区华北水利水电大学南门东侧综合楼六楼南612室</w:t>
            </w:r>
          </w:p>
          <w:p>
            <w:pPr>
              <w:snapToGrid w:val="0"/>
              <w:spacing w:line="420" w:lineRule="exact"/>
              <w:ind w:left="4725"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联   系   人：秦老师</w:t>
            </w:r>
          </w:p>
          <w:p>
            <w:pPr>
              <w:snapToGrid w:val="0"/>
              <w:spacing w:line="420" w:lineRule="exact"/>
              <w:ind w:left="4725"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电        话：0371-65790261</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招标代理机构</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420" w:lineRule="exact"/>
              <w:ind w:left="4725"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招标代理机构：鑫诚国际工程咨询有限公司 </w:t>
            </w:r>
          </w:p>
          <w:p>
            <w:pPr>
              <w:snapToGrid w:val="0"/>
              <w:spacing w:line="42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地        址：郑州市优胜南路与文化路交叉口西北角国奥商务8层801室 </w:t>
            </w:r>
          </w:p>
          <w:p>
            <w:pPr>
              <w:snapToGrid w:val="0"/>
              <w:spacing w:line="42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邮        编：450003  </w:t>
            </w:r>
          </w:p>
          <w:p>
            <w:pPr>
              <w:snapToGrid w:val="0"/>
              <w:spacing w:line="42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联   系   人：聂先生 </w:t>
            </w:r>
          </w:p>
          <w:p>
            <w:pPr>
              <w:snapToGrid w:val="0"/>
              <w:spacing w:line="42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电        话：0371-56662101、0371-56661303 </w:t>
            </w:r>
          </w:p>
          <w:p>
            <w:pPr>
              <w:snapToGrid w:val="0"/>
              <w:spacing w:line="420" w:lineRule="exact"/>
              <w:ind w:left="4725" w:hanging="4725"/>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传        真：/ </w:t>
            </w:r>
          </w:p>
          <w:p>
            <w:pPr>
              <w:snapToGrid w:val="0"/>
              <w:spacing w:line="420" w:lineRule="exact"/>
              <w:ind w:left="4725" w:hanging="4725"/>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电 子  邮 件：</w:t>
            </w:r>
            <w:r>
              <w:rPr>
                <w:rFonts w:hint="eastAsia" w:ascii="仿宋_GB2312" w:hAnsi="仿宋_GB2312" w:eastAsia="仿宋_GB2312"/>
                <w:color w:val="auto"/>
                <w:highlight w:val="none"/>
              </w:rPr>
              <w:fldChar w:fldCharType="begin" w:fldLock="1"/>
            </w:r>
            <w:r>
              <w:rPr>
                <w:rFonts w:hint="eastAsia" w:ascii="仿宋_GB2312" w:hAnsi="仿宋_GB2312" w:eastAsia="仿宋_GB2312"/>
                <w:color w:val="auto"/>
                <w:highlight w:val="none"/>
              </w:rPr>
              <w:instrText xml:space="preserve"> HYPERLINK \l "mailto:junxun14@163.com" </w:instrText>
            </w:r>
            <w:r>
              <w:rPr>
                <w:rFonts w:hint="eastAsia" w:ascii="仿宋_GB2312" w:hAnsi="仿宋_GB2312" w:eastAsia="仿宋_GB2312"/>
                <w:color w:val="auto"/>
                <w:highlight w:val="none"/>
              </w:rPr>
              <w:fldChar w:fldCharType="separate"/>
            </w:r>
            <w:r>
              <w:rPr>
                <w:rFonts w:hint="eastAsia" w:ascii="仿宋_GB2312" w:hAnsi="仿宋_GB2312" w:eastAsia="仿宋_GB2312"/>
                <w:color w:val="auto"/>
                <w:highlight w:val="none"/>
              </w:rPr>
              <w:t>junxun14@163.com</w:t>
            </w:r>
            <w:r>
              <w:rPr>
                <w:rFonts w:hint="eastAsia" w:ascii="仿宋_GB2312" w:hAnsi="仿宋_GB2312" w:eastAsia="仿宋_GB2312"/>
                <w:color w:val="auto"/>
                <w:highlight w:val="none"/>
              </w:rPr>
              <w:fldChar w:fldCharType="end"/>
            </w:r>
          </w:p>
        </w:tc>
      </w:tr>
      <w:tr>
        <w:tblPrEx>
          <w:tblCellMar>
            <w:top w:w="0" w:type="dxa"/>
            <w:left w:w="0" w:type="dxa"/>
            <w:bottom w:w="0" w:type="dxa"/>
            <w:right w:w="0" w:type="dxa"/>
          </w:tblCellMar>
        </w:tblPrEx>
        <w:trPr>
          <w:trHeight w:val="926"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1.1.4</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项目名称及标段划分</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华北水利水电大学（花园校区）增容供配电工程项目</w:t>
            </w:r>
            <w:r>
              <w:rPr>
                <w:rFonts w:hint="eastAsia" w:ascii="仿宋_GB2312" w:hAnsi="仿宋_GB2312" w:eastAsia="仿宋_GB2312"/>
                <w:color w:val="auto"/>
                <w:highlight w:val="none"/>
              </w:rPr>
              <w:br w:type="textWrapping"/>
            </w:r>
            <w:r>
              <w:rPr>
                <w:rFonts w:hint="eastAsia" w:ascii="仿宋_GB2312" w:hAnsi="仿宋_GB2312" w:eastAsia="仿宋_GB2312"/>
                <w:color w:val="auto"/>
                <w:highlight w:val="none"/>
              </w:rPr>
              <w:t>未划分标段</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1.1.5</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建设地点</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ascii="仿宋_GB2312" w:hAnsi="仿宋_GB2312" w:eastAsia="仿宋_GB2312"/>
                <w:color w:val="auto"/>
                <w:highlight w:val="none"/>
              </w:rPr>
            </w:pPr>
            <w:r>
              <w:rPr>
                <w:rFonts w:hint="eastAsia" w:ascii="仿宋_GB2312" w:hAnsi="仿宋_GB2312" w:eastAsia="仿宋_GB2312"/>
                <w:color w:val="auto"/>
                <w:highlight w:val="none"/>
              </w:rPr>
              <w:t>华北水利水电大学花园校区</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1.2.1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ascii="仿宋_GB2312" w:hAnsi="仿宋_GB2312" w:eastAsia="仿宋_GB2312"/>
                <w:color w:val="auto"/>
                <w:highlight w:val="none"/>
              </w:rPr>
            </w:pPr>
            <w:r>
              <w:rPr>
                <w:rFonts w:hint="eastAsia" w:ascii="仿宋_GB2312" w:hAnsi="仿宋_GB2312" w:eastAsia="仿宋_GB2312"/>
                <w:color w:val="auto"/>
                <w:highlight w:val="none"/>
              </w:rPr>
              <w:t>资金来源</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自筹资金</w:t>
            </w:r>
            <w:r>
              <w:rPr>
                <w:rFonts w:hint="eastAsia" w:ascii="仿宋" w:hAnsi="仿宋" w:eastAsia="仿宋" w:cs="仿宋"/>
                <w:color w:val="auto"/>
                <w:highlight w:val="none"/>
              </w:rPr>
              <w:t>15998326.71元</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1.2.2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出资比例</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自筹资金100%</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1.2.3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资金落实情况</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已落实</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1.3.1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招标范围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宋体" w:eastAsia="仿宋_GB2312" w:cs="宋体"/>
                <w:color w:val="auto"/>
                <w:szCs w:val="21"/>
                <w:highlight w:val="none"/>
              </w:rPr>
            </w:pPr>
            <w:r>
              <w:rPr>
                <w:rFonts w:hint="eastAsia" w:ascii="仿宋_GB2312" w:hAnsi="仿宋_GB2312" w:eastAsia="仿宋_GB2312" w:cs="仿宋_GB2312"/>
                <w:color w:val="auto"/>
                <w:sz w:val="24"/>
                <w:highlight w:val="none"/>
                <w:lang w:eastAsia="zh-CN"/>
              </w:rPr>
              <w:t>电力增容、校内外高压线路和设备的采购安装调试、校内低压线路和设备的采购安装调试、花园校区配套用电手续的办理等，具体工程量详见</w:t>
            </w:r>
            <w:r>
              <w:rPr>
                <w:rFonts w:hint="eastAsia" w:ascii="仿宋_GB2312" w:hAnsi="仿宋_GB2312" w:eastAsia="仿宋_GB2312"/>
                <w:color w:val="auto"/>
                <w:highlight w:val="none"/>
                <w:lang w:eastAsia="zh-CN"/>
              </w:rPr>
              <w:t>华北水利水电大学（花园校区）增容供配电工程项目</w:t>
            </w:r>
            <w:r>
              <w:rPr>
                <w:rFonts w:hint="eastAsia" w:ascii="仿宋_GB2312" w:hAnsi="仿宋_GB2312" w:eastAsia="仿宋_GB2312"/>
                <w:color w:val="auto"/>
                <w:highlight w:val="none"/>
              </w:rPr>
              <w:t>施工图纸及工程量清单内全部内容</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1.3.2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工期</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45</w:t>
            </w:r>
            <w:r>
              <w:rPr>
                <w:rFonts w:hint="eastAsia" w:ascii="仿宋_GB2312" w:hAnsi="仿宋_GB2312" w:eastAsia="仿宋_GB2312"/>
                <w:color w:val="auto"/>
                <w:highlight w:val="none"/>
              </w:rPr>
              <w:t>日历天</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1.3.3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质量要求</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合格</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1.3.4</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保修期</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lang w:eastAsia="zh-CN"/>
              </w:rPr>
            </w:pPr>
            <w:r>
              <w:rPr>
                <w:rFonts w:hint="eastAsia" w:ascii="仿宋_GB2312" w:eastAsia="仿宋_GB2312"/>
                <w:color w:val="auto"/>
                <w:highlight w:val="none"/>
              </w:rPr>
              <w:t>2年</w:t>
            </w:r>
            <w:r>
              <w:rPr>
                <w:rFonts w:hint="eastAsia" w:asci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1.3.5</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工程</w:t>
            </w:r>
            <w:r>
              <w:rPr>
                <w:rFonts w:hint="eastAsia" w:ascii="仿宋_GB2312" w:hAnsi="仿宋_GB2312" w:eastAsia="仿宋_GB2312"/>
                <w:color w:val="auto"/>
                <w:highlight w:val="none"/>
                <w:lang w:eastAsia="zh-CN"/>
              </w:rPr>
              <w:t>缺陷责任期</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eastAsia="仿宋_GB2312"/>
                <w:color w:val="auto"/>
                <w:highlight w:val="none"/>
                <w:lang w:eastAsia="zh-CN"/>
              </w:rPr>
            </w:pPr>
            <w:r>
              <w:rPr>
                <w:rFonts w:hint="eastAsia" w:ascii="仿宋_GB2312" w:eastAsia="仿宋_GB2312"/>
                <w:color w:val="auto"/>
                <w:highlight w:val="none"/>
              </w:rPr>
              <w:t>2年</w:t>
            </w:r>
            <w:r>
              <w:rPr>
                <w:rFonts w:hint="eastAsia" w:asci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1.3.6</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主要设备质保期</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eastAsia="仿宋_GB2312"/>
                <w:color w:val="auto"/>
                <w:highlight w:val="none"/>
                <w:lang w:val="en-US" w:eastAsia="zh-CN"/>
              </w:rPr>
            </w:pPr>
            <w:r>
              <w:rPr>
                <w:rFonts w:hint="eastAsia" w:ascii="仿宋_GB2312" w:hAnsi="仿宋_GB2312" w:eastAsia="仿宋_GB2312"/>
                <w:color w:val="auto"/>
                <w:highlight w:val="none"/>
                <w:lang w:val="en-US" w:eastAsia="zh-CN"/>
              </w:rPr>
              <w:t>5年，电缆按国家规定执行，</w:t>
            </w:r>
            <w:r>
              <w:rPr>
                <w:rFonts w:hint="eastAsia" w:ascii="仿宋_GB2312" w:hAns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1.4.1</w:t>
            </w:r>
          </w:p>
          <w:p>
            <w:pPr>
              <w:snapToGrid w:val="0"/>
              <w:spacing w:line="360" w:lineRule="auto"/>
              <w:jc w:val="center"/>
              <w:rPr>
                <w:rFonts w:ascii="宋体"/>
                <w:color w:val="auto"/>
                <w:sz w:val="20"/>
                <w:highlight w:val="none"/>
              </w:rPr>
            </w:pPr>
          </w:p>
          <w:p>
            <w:pPr>
              <w:snapToGrid w:val="0"/>
              <w:spacing w:line="360" w:lineRule="auto"/>
              <w:jc w:val="center"/>
              <w:rPr>
                <w:rFonts w:ascii="宋体"/>
                <w:color w:val="auto"/>
                <w:sz w:val="20"/>
                <w:highlight w:val="none"/>
              </w:rPr>
            </w:pP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spacing w:val="1"/>
                <w:highlight w:val="none"/>
              </w:rPr>
            </w:pPr>
            <w:r>
              <w:rPr>
                <w:rFonts w:hint="eastAsia" w:ascii="仿宋_GB2312" w:hAnsi="仿宋_GB2312" w:eastAsia="仿宋_GB2312"/>
                <w:color w:val="auto"/>
                <w:spacing w:val="1"/>
                <w:highlight w:val="none"/>
              </w:rPr>
              <w:t>投标人资质条件、能力和信誉</w:t>
            </w:r>
          </w:p>
          <w:p>
            <w:pPr>
              <w:snapToGrid w:val="0"/>
              <w:spacing w:line="360" w:lineRule="auto"/>
              <w:jc w:val="center"/>
              <w:rPr>
                <w:rFonts w:ascii="宋体"/>
                <w:color w:val="auto"/>
                <w:sz w:val="20"/>
                <w:highlight w:val="none"/>
              </w:rPr>
            </w:pPr>
          </w:p>
          <w:p>
            <w:pPr>
              <w:snapToGrid w:val="0"/>
              <w:spacing w:line="360" w:lineRule="auto"/>
              <w:jc w:val="center"/>
              <w:rPr>
                <w:rFonts w:ascii="宋体"/>
                <w:color w:val="auto"/>
                <w:sz w:val="20"/>
                <w:highlight w:val="none"/>
              </w:rPr>
            </w:pP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符合《中华人民共和国政府采购法》第二十二条规定，并同时具备下列条件：</w:t>
            </w:r>
          </w:p>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b/>
                <w:color w:val="auto"/>
                <w:highlight w:val="none"/>
              </w:rPr>
              <w:t>1、资质要求：</w:t>
            </w:r>
            <w:r>
              <w:rPr>
                <w:rFonts w:hint="eastAsia" w:ascii="仿宋_GB2312" w:hAnsi="仿宋_GB2312" w:eastAsia="仿宋_GB2312"/>
                <w:color w:val="auto"/>
                <w:highlight w:val="none"/>
                <w:shd w:val="clear" w:color="000000" w:fill="auto"/>
              </w:rPr>
              <w:t>须为</w:t>
            </w:r>
            <w:r>
              <w:rPr>
                <w:rFonts w:hint="eastAsia" w:ascii="仿宋_GB2312" w:hAnsi="仿宋_GB2312" w:eastAsia="仿宋_GB2312" w:cs="仿宋_GB2312"/>
                <w:color w:val="auto"/>
                <w:highlight w:val="none"/>
                <w:lang w:val="zh-TW" w:eastAsia="zh-TW"/>
              </w:rPr>
              <w:t>具有国家建设行政主管部门核发的</w:t>
            </w:r>
            <w:r>
              <w:rPr>
                <w:rFonts w:hint="eastAsia" w:ascii="仿宋_GB2312" w:hAnsi="仿宋_GB2312" w:eastAsia="仿宋_GB2312" w:cs="仿宋_GB2312"/>
                <w:color w:val="auto"/>
                <w:highlight w:val="none"/>
                <w:lang w:val="zh-TW" w:eastAsia="zh-CN"/>
              </w:rPr>
              <w:t>电力工程施工总承包叁级及以上资质或输变电工程专业承包三级及以上资质</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并同时具备国家能源局颁发（或原国家电力监管委员会）的电力设施施工《承装（修、试）电力设施许可证》承装叁级、承修叁级、承试叁级及以上资质，且具备有效的安全生产许可证书</w:t>
            </w:r>
            <w:r>
              <w:rPr>
                <w:rFonts w:hint="eastAsia" w:ascii="仿宋_GB2312" w:hAnsi="仿宋_GB2312" w:eastAsia="仿宋_GB2312"/>
                <w:color w:val="auto"/>
                <w:highlight w:val="none"/>
              </w:rPr>
              <w:t>。</w:t>
            </w:r>
          </w:p>
          <w:p>
            <w:pPr>
              <w:pStyle w:val="20"/>
              <w:widowControl/>
              <w:spacing w:line="460" w:lineRule="exact"/>
              <w:rPr>
                <w:color w:val="auto"/>
                <w:sz w:val="21"/>
                <w:szCs w:val="21"/>
                <w:highlight w:val="none"/>
              </w:rPr>
            </w:pPr>
            <w:r>
              <w:rPr>
                <w:rFonts w:hint="eastAsia" w:ascii="仿宋_GB2312" w:hAnsi="仿宋_GB2312" w:eastAsia="仿宋_GB2312"/>
                <w:b/>
                <w:color w:val="auto"/>
                <w:highlight w:val="none"/>
                <w:shd w:val="clear" w:color="000000" w:fill="auto"/>
              </w:rPr>
              <w:t>2、项目经理要求：</w:t>
            </w:r>
            <w:r>
              <w:rPr>
                <w:rFonts w:hint="eastAsia" w:ascii="仿宋_GB2312" w:hAnsi="仿宋_GB2312" w:eastAsia="仿宋_GB2312"/>
                <w:color w:val="auto"/>
                <w:highlight w:val="none"/>
                <w:shd w:val="clear" w:color="000000" w:fill="auto"/>
                <w:lang w:eastAsia="zh-CN"/>
              </w:rPr>
              <w:t>投标人拟派项目经理须为本单位注册的机电工程专业二级及以上注册建造师（不含临时建造师）</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同时具备有效的安全生产考核合格证书</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且拟派项目经理自本项目合同签订之日起至本项目施工完工期间不得同时担任其他在建工程项目经理</w:t>
            </w:r>
            <w:r>
              <w:rPr>
                <w:rFonts w:hint="eastAsia" w:ascii="仿宋_GB2312" w:hAnsi="仿宋_GB2312" w:eastAsia="仿宋_GB2312"/>
                <w:color w:val="auto"/>
                <w:highlight w:val="none"/>
                <w:shd w:val="clear" w:color="000000" w:fill="auto"/>
              </w:rPr>
              <w:t>。</w:t>
            </w:r>
          </w:p>
          <w:p>
            <w:pPr>
              <w:snapToGrid w:val="0"/>
              <w:spacing w:line="360" w:lineRule="auto"/>
              <w:rPr>
                <w:rFonts w:hint="eastAsia" w:ascii="仿宋_GB2312" w:hAnsi="仿宋_GB2312" w:eastAsia="仿宋_GB2312"/>
                <w:color w:val="auto"/>
                <w:highlight w:val="none"/>
                <w:shd w:val="clear" w:color="000000" w:fill="auto"/>
              </w:rPr>
            </w:pPr>
            <w:r>
              <w:rPr>
                <w:rFonts w:hint="eastAsia" w:ascii="仿宋_GB2312" w:hAnsi="仿宋_GB2312" w:eastAsia="仿宋_GB2312"/>
                <w:color w:val="auto"/>
                <w:highlight w:val="none"/>
                <w:shd w:val="clear" w:color="000000" w:fill="auto"/>
                <w:lang w:val="en-US" w:eastAsia="zh-CN"/>
              </w:rPr>
              <w:t>3</w:t>
            </w:r>
            <w:r>
              <w:rPr>
                <w:rFonts w:hint="eastAsia" w:ascii="仿宋_GB2312" w:hAnsi="仿宋_GB2312" w:eastAsia="仿宋_GB2312"/>
                <w:b/>
                <w:color w:val="auto"/>
                <w:highlight w:val="none"/>
                <w:shd w:val="clear" w:color="000000" w:fill="auto"/>
              </w:rPr>
              <w:t>、财务要求：</w:t>
            </w:r>
            <w:r>
              <w:rPr>
                <w:rFonts w:hint="eastAsia" w:ascii="仿宋_GB2312" w:hAnsi="仿宋_GB2312" w:eastAsia="仿宋_GB2312"/>
                <w:color w:val="auto"/>
                <w:highlight w:val="none"/>
                <w:shd w:val="clear" w:color="000000" w:fill="auto"/>
                <w:lang w:eastAsia="zh-CN"/>
              </w:rPr>
              <w:t>投标人财务状况良好，提供2019年度审计报告，公司成立时间不足一年的，附自行出具的财务报表说明或2020年1月1日以来基本户银行出具的资信证明</w:t>
            </w:r>
            <w:r>
              <w:rPr>
                <w:rFonts w:hint="eastAsia" w:ascii="仿宋_GB2312" w:hAnsi="仿宋_GB2312" w:eastAsia="仿宋_GB2312"/>
                <w:color w:val="auto"/>
                <w:highlight w:val="none"/>
                <w:shd w:val="clear" w:color="000000" w:fill="auto"/>
              </w:rPr>
              <w:t>。</w:t>
            </w:r>
          </w:p>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shd w:val="clear" w:color="000000" w:fill="auto"/>
                <w:lang w:val="en-US" w:eastAsia="zh-CN"/>
              </w:rPr>
              <w:t>4</w:t>
            </w:r>
            <w:r>
              <w:rPr>
                <w:rFonts w:hint="eastAsia" w:ascii="仿宋_GB2312" w:hAnsi="仿宋_GB2312" w:eastAsia="仿宋_GB2312"/>
                <w:b/>
                <w:color w:val="auto"/>
                <w:highlight w:val="none"/>
                <w:shd w:val="clear" w:color="000000" w:fill="auto"/>
              </w:rPr>
              <w:t>、信誉要求：</w:t>
            </w:r>
            <w:r>
              <w:rPr>
                <w:rFonts w:hint="eastAsia" w:ascii="仿宋_GB2312" w:hAnsi="仿宋_GB2312" w:eastAsia="仿宋_GB2312"/>
                <w:color w:val="auto"/>
                <w:highlight w:val="none"/>
                <w:shd w:val="clear" w:color="000000" w:fill="auto"/>
              </w:rPr>
              <w:t>具有良好的</w:t>
            </w:r>
            <w:r>
              <w:rPr>
                <w:rFonts w:hint="eastAsia" w:ascii="仿宋_GB2312" w:hAnsi="仿宋_GB2312" w:eastAsia="仿宋_GB2312"/>
                <w:color w:val="auto"/>
                <w:highlight w:val="none"/>
              </w:rPr>
              <w:t>商业信誉，没有处于被责令停业，投标资格被取消，财产被接管、冻结，破产状态；参加政府采购活动前三年内，在经营活动中没有重大违法记录，无骗取中标或严重违约或重大工程质量问题。</w:t>
            </w:r>
          </w:p>
          <w:p>
            <w:pPr>
              <w:snapToGrid w:val="0"/>
              <w:spacing w:line="360" w:lineRule="auto"/>
              <w:rPr>
                <w:rFonts w:hint="eastAsia" w:ascii="仿宋_GB2312" w:hAnsi="仿宋_GB2312" w:eastAsia="仿宋_GB2312"/>
                <w:b/>
                <w:color w:val="auto"/>
                <w:highlight w:val="none"/>
                <w:shd w:val="clear" w:color="000000" w:fill="FFFFFF"/>
              </w:rPr>
            </w:pP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、其它要求：</w:t>
            </w:r>
          </w:p>
          <w:p>
            <w:pPr>
              <w:snapToGrid w:val="0"/>
              <w:spacing w:line="360" w:lineRule="auto"/>
              <w:ind w:firstLine="422"/>
              <w:rPr>
                <w:rFonts w:hint="eastAsia" w:ascii="仿宋_GB2312" w:hAnsi="仿宋_GB2312" w:eastAsia="仿宋_GB2312"/>
                <w:b/>
                <w:color w:val="auto"/>
                <w:highlight w:val="none"/>
                <w:shd w:val="clear" w:color="000000" w:fill="FFFFFF"/>
              </w:rPr>
            </w:pP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 xml:space="preserve">.1 </w:t>
            </w:r>
            <w:r>
              <w:rPr>
                <w:rFonts w:hint="eastAsia" w:ascii="仿宋_GB2312" w:hAnsi="仿宋_GB2312" w:eastAsia="仿宋_GB2312"/>
                <w:color w:val="auto"/>
                <w:highlight w:val="none"/>
                <w:shd w:val="clear" w:color="000000" w:fill="auto"/>
              </w:rPr>
              <w:t>委托代理人（如有）、项目经理应是本单位在职员工，在投标企业办理有劳动合同关系（提供劳动合同）、缴纳社会保险（提供</w:t>
            </w:r>
            <w:r>
              <w:rPr>
                <w:rFonts w:hint="eastAsia" w:ascii="仿宋_GB2312" w:hAnsi="仿宋_GB2312" w:eastAsia="仿宋_GB2312"/>
                <w:color w:val="auto"/>
                <w:highlight w:val="none"/>
                <w:shd w:val="clear" w:color="000000" w:fill="auto"/>
                <w:lang w:eastAsia="zh-CN"/>
              </w:rPr>
              <w:t>个人社保缴纳证明</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rPr>
              <w:t>。</w:t>
            </w:r>
          </w:p>
          <w:p>
            <w:pPr>
              <w:snapToGrid w:val="0"/>
              <w:spacing w:line="360" w:lineRule="auto"/>
              <w:ind w:firstLine="422"/>
              <w:rPr>
                <w:rFonts w:hint="eastAsia" w:ascii="仿宋_GB2312" w:hAnsi="仿宋_GB2312" w:eastAsia="仿宋_GB2312"/>
                <w:color w:val="auto"/>
                <w:highlight w:val="none"/>
              </w:rPr>
            </w:pPr>
            <w:r>
              <w:rPr>
                <w:rFonts w:hint="eastAsia" w:ascii="仿宋_GB2312" w:hAnsi="仿宋_GB2312" w:eastAsia="仿宋_GB2312"/>
                <w:b/>
                <w:color w:val="auto"/>
                <w:highlight w:val="none"/>
                <w:shd w:val="clear" w:color="000000" w:fill="auto"/>
              </w:rPr>
              <w:t xml:space="preserve"> </w:t>
            </w:r>
            <w:r>
              <w:rPr>
                <w:rFonts w:hint="eastAsia" w:ascii="仿宋_GB2312" w:hAnsi="仿宋_GB2312" w:eastAsia="仿宋_GB2312"/>
                <w:b/>
                <w:color w:val="auto"/>
                <w:highlight w:val="none"/>
                <w:shd w:val="clear" w:color="000000" w:fill="auto"/>
                <w:lang w:val="en-US" w:eastAsia="zh-CN"/>
              </w:rPr>
              <w:t>5</w:t>
            </w:r>
            <w:r>
              <w:rPr>
                <w:rFonts w:hint="eastAsia" w:ascii="仿宋_GB2312" w:hAnsi="仿宋_GB2312" w:eastAsia="仿宋_GB2312"/>
                <w:b/>
                <w:color w:val="auto"/>
                <w:highlight w:val="none"/>
                <w:shd w:val="clear" w:color="000000" w:fill="auto"/>
              </w:rPr>
              <w:t xml:space="preserve">.2 </w:t>
            </w:r>
            <w:r>
              <w:rPr>
                <w:rFonts w:hint="eastAsia" w:ascii="仿宋_GB2312" w:hAnsi="仿宋_GB2312" w:eastAsia="仿宋_GB2312"/>
                <w:color w:val="auto"/>
                <w:highlight w:val="none"/>
                <w:lang w:eastAsia="zh-CN"/>
              </w:rPr>
              <w:t>根据《关于在政府采购活动中查询及使用信用记录有关问题的通知》(财库[2016]125号) 和豫财购【2016】15号的规定，对列入失信被执行人和重大税收违法案件当事人名单（查询网址“信用中国”网（www.creditchina.gov.cn））、政府采购严重违法失信行为记录名单处罚期限尚未届满的（查询网址“中国政府采购”网（www.ccgp.gov.cn）的投标人，拒绝其参与本招标项目</w:t>
            </w:r>
            <w:r>
              <w:rPr>
                <w:rFonts w:hint="eastAsia" w:ascii="仿宋_GB2312" w:hAnsi="仿宋_GB2312" w:eastAsia="仿宋_GB2312"/>
                <w:color w:val="auto"/>
                <w:highlight w:val="none"/>
              </w:rPr>
              <w:t>。（</w:t>
            </w:r>
            <w:r>
              <w:rPr>
                <w:rFonts w:hint="eastAsia" w:ascii="仿宋" w:hAnsi="仿宋" w:eastAsia="仿宋" w:cs="仿宋"/>
                <w:color w:val="auto"/>
                <w:highlight w:val="none"/>
              </w:rPr>
              <w:t>投标</w:t>
            </w:r>
            <w:r>
              <w:rPr>
                <w:rFonts w:hint="eastAsia" w:ascii="仿宋" w:hAnsi="仿宋" w:eastAsia="仿宋" w:cs="仿宋"/>
                <w:color w:val="auto"/>
                <w:highlight w:val="none"/>
                <w:lang w:eastAsia="zh-CN"/>
              </w:rPr>
              <w:t>人</w:t>
            </w:r>
            <w:r>
              <w:rPr>
                <w:rFonts w:hint="eastAsia" w:ascii="仿宋" w:hAnsi="仿宋" w:eastAsia="仿宋" w:cs="仿宋"/>
                <w:color w:val="auto"/>
                <w:highlight w:val="none"/>
              </w:rPr>
              <w:t>自行查询的证明材料将不作为资格评审依据，以开标现场招标代理机构经办人查询网页截图作为查询记录和证据</w:t>
            </w:r>
            <w:r>
              <w:rPr>
                <w:rFonts w:hint="eastAsia" w:ascii="仿宋_GB2312" w:hAnsi="仿宋_GB2312" w:eastAsia="仿宋_GB2312"/>
                <w:color w:val="auto"/>
                <w:highlight w:val="none"/>
              </w:rPr>
              <w:t>）</w:t>
            </w:r>
          </w:p>
          <w:p>
            <w:pPr>
              <w:snapToGrid w:val="0"/>
              <w:spacing w:line="360" w:lineRule="auto"/>
              <w:rPr>
                <w:rFonts w:hint="eastAsia" w:ascii="仿宋_GB2312" w:hAnsi="仿宋_GB2312" w:eastAsia="仿宋_GB2312"/>
                <w:bCs/>
                <w:color w:val="auto"/>
                <w:highlight w:val="none"/>
              </w:rPr>
            </w:pPr>
            <w:r>
              <w:rPr>
                <w:rFonts w:hint="eastAsia" w:ascii="仿宋_GB2312" w:hAnsi="仿宋_GB2312" w:eastAsia="仿宋_GB2312"/>
                <w:b/>
                <w:color w:val="auto"/>
                <w:highlight w:val="none"/>
                <w:lang w:val="en-US" w:eastAsia="zh-CN"/>
              </w:rPr>
              <w:t>6</w:t>
            </w:r>
            <w:r>
              <w:rPr>
                <w:rFonts w:hint="eastAsia" w:ascii="仿宋_GB2312" w:hAnsi="仿宋_GB2312" w:eastAsia="仿宋_GB2312"/>
                <w:b/>
                <w:color w:val="auto"/>
                <w:highlight w:val="none"/>
              </w:rPr>
              <w:t>、</w:t>
            </w:r>
            <w:r>
              <w:rPr>
                <w:rFonts w:hint="eastAsia" w:ascii="仿宋" w:hAnsi="仿宋" w:eastAsia="仿宋" w:cs="仿宋"/>
                <w:color w:val="auto"/>
                <w:highlight w:val="none"/>
              </w:rPr>
              <w:t>单位负责人为同一人或者存在控股、管理关系的不同单位，不得同时参加本项目同一标段的投标或未划分多个标段的同一项目的投标；为本</w:t>
            </w:r>
            <w:r>
              <w:rPr>
                <w:rFonts w:hint="eastAsia" w:ascii="仿宋_GB2312" w:hAnsi="仿宋_GB2312" w:eastAsia="仿宋_GB2312"/>
                <w:bCs/>
                <w:color w:val="auto"/>
                <w:highlight w:val="none"/>
              </w:rPr>
              <w:t>项目前期准备提供设计或咨询服务的不得参加本招标项目投标。</w:t>
            </w:r>
          </w:p>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b/>
                <w:color w:val="auto"/>
                <w:highlight w:val="none"/>
                <w:lang w:val="en-US" w:eastAsia="zh-CN"/>
              </w:rPr>
              <w:t>7</w:t>
            </w:r>
            <w:r>
              <w:rPr>
                <w:rFonts w:hint="eastAsia" w:ascii="仿宋_GB2312" w:hAnsi="仿宋_GB2312" w:eastAsia="仿宋_GB2312"/>
                <w:b/>
                <w:color w:val="auto"/>
                <w:highlight w:val="none"/>
              </w:rPr>
              <w:t>、</w:t>
            </w:r>
            <w:r>
              <w:rPr>
                <w:rFonts w:hint="eastAsia" w:ascii="仿宋_GB2312" w:hAnsi="仿宋_GB2312" w:eastAsia="仿宋_GB2312"/>
                <w:bCs/>
                <w:color w:val="auto"/>
                <w:highlight w:val="none"/>
              </w:rPr>
              <w:t>本次招标不接受联合体投标。</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1.4.2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是否接受联合体投标</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不接受</w:t>
            </w:r>
          </w:p>
        </w:tc>
      </w:tr>
      <w:tr>
        <w:tblPrEx>
          <w:tblCellMar>
            <w:top w:w="0" w:type="dxa"/>
            <w:left w:w="0" w:type="dxa"/>
            <w:bottom w:w="0" w:type="dxa"/>
            <w:right w:w="0" w:type="dxa"/>
          </w:tblCellMar>
        </w:tblPrEx>
        <w:trPr>
          <w:trHeight w:val="754"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1.9.1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踏勘现场</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自行踏勘</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1.10.1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投标预备会</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不召开</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1.10.2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投标人提出问题的截止时间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递交投标文件的截止之日10日前</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1.10.3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招标人书面澄清的时间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递交投标文件的截止之日15日前</w:t>
            </w:r>
          </w:p>
        </w:tc>
      </w:tr>
      <w:tr>
        <w:tblPrEx>
          <w:tblCellMar>
            <w:top w:w="0" w:type="dxa"/>
            <w:left w:w="0" w:type="dxa"/>
            <w:bottom w:w="0" w:type="dxa"/>
            <w:right w:w="0" w:type="dxa"/>
          </w:tblCellMar>
        </w:tblPrEx>
        <w:trPr>
          <w:trHeight w:val="405"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分  包</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专用配改造允许分包，</w:t>
            </w:r>
            <w:r>
              <w:rPr>
                <w:rFonts w:hint="eastAsia" w:ascii="仿宋_GB2312" w:hAnsi="仿宋_GB2312" w:eastAsia="仿宋_GB2312"/>
                <w:color w:val="auto"/>
                <w:highlight w:val="none"/>
                <w:lang w:eastAsia="zh-CN"/>
              </w:rPr>
              <w:t>要求具备建筑工程施工总承包叁</w:t>
            </w:r>
            <w:r>
              <w:rPr>
                <w:rFonts w:hint="eastAsia" w:ascii="仿宋_GB2312" w:hAnsi="仿宋_GB2312" w:eastAsia="仿宋_GB2312"/>
                <w:color w:val="auto"/>
                <w:highlight w:val="none"/>
              </w:rPr>
              <w:t>级</w:t>
            </w:r>
            <w:r>
              <w:rPr>
                <w:rFonts w:hint="eastAsia" w:ascii="仿宋_GB2312" w:hAnsi="仿宋_GB2312" w:eastAsia="仿宋_GB2312"/>
                <w:color w:val="auto"/>
                <w:highlight w:val="none"/>
                <w:lang w:eastAsia="zh-CN"/>
              </w:rPr>
              <w:t>及</w:t>
            </w:r>
            <w:r>
              <w:rPr>
                <w:rFonts w:hint="eastAsia" w:ascii="仿宋_GB2312" w:hAnsi="仿宋_GB2312" w:eastAsia="仿宋_GB2312"/>
                <w:color w:val="auto"/>
                <w:highlight w:val="none"/>
              </w:rPr>
              <w:t>以</w:t>
            </w:r>
            <w:r>
              <w:rPr>
                <w:rFonts w:hint="eastAsia" w:ascii="仿宋_GB2312" w:hAnsi="仿宋_GB2312" w:eastAsia="仿宋_GB2312"/>
                <w:color w:val="auto"/>
                <w:highlight w:val="none"/>
                <w:lang w:eastAsia="zh-CN"/>
              </w:rPr>
              <w:t>上</w:t>
            </w:r>
            <w:r>
              <w:rPr>
                <w:rFonts w:hint="eastAsia" w:ascii="仿宋_GB2312" w:hAnsi="仿宋_GB2312" w:eastAsia="仿宋_GB2312"/>
                <w:color w:val="auto"/>
                <w:highlight w:val="none"/>
              </w:rPr>
              <w:t>资质</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1.12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偏  离</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形式评审、资格评审、响应性评审</w:t>
            </w:r>
            <w:r>
              <w:rPr>
                <w:rFonts w:hint="eastAsia" w:ascii="仿宋_GB2312" w:hAnsi="仿宋_GB2312" w:eastAsia="仿宋_GB2312"/>
                <w:color w:val="auto"/>
                <w:highlight w:val="none"/>
              </w:rPr>
              <w:t>不允许</w:t>
            </w:r>
            <w:r>
              <w:rPr>
                <w:rFonts w:hint="eastAsia" w:ascii="仿宋_GB2312" w:hAnsi="仿宋_GB2312" w:eastAsia="仿宋_GB2312"/>
                <w:color w:val="auto"/>
                <w:highlight w:val="none"/>
                <w:lang w:eastAsia="zh-CN"/>
              </w:rPr>
              <w:t>偏离</w:t>
            </w:r>
          </w:p>
        </w:tc>
      </w:tr>
      <w:tr>
        <w:tblPrEx>
          <w:tblCellMar>
            <w:top w:w="0" w:type="dxa"/>
            <w:left w:w="0" w:type="dxa"/>
            <w:bottom w:w="0" w:type="dxa"/>
            <w:right w:w="0" w:type="dxa"/>
          </w:tblCellMar>
        </w:tblPrEx>
        <w:trPr>
          <w:trHeight w:val="769"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2.1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构成招标文件的</w:t>
            </w:r>
          </w:p>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其他材料</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除招标文件外，招标人在招标期间发出的澄清、修改、补充、补遗、答疑和其它有效正式函件等内容均是招标文件的组成部分。</w:t>
            </w:r>
          </w:p>
        </w:tc>
      </w:tr>
      <w:tr>
        <w:tblPrEx>
          <w:tblCellMar>
            <w:top w:w="0" w:type="dxa"/>
            <w:left w:w="0" w:type="dxa"/>
            <w:bottom w:w="0" w:type="dxa"/>
            <w:right w:w="0" w:type="dxa"/>
          </w:tblCellMar>
        </w:tblPrEx>
        <w:trPr>
          <w:trHeight w:val="9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2.2.2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投标截止时间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lang w:eastAsia="zh-CN"/>
              </w:rPr>
              <w:t>2020年8月</w:t>
            </w:r>
            <w:r>
              <w:rPr>
                <w:rFonts w:hint="eastAsia" w:ascii="仿宋_GB2312" w:hAnsi="仿宋_GB2312" w:eastAsia="仿宋_GB2312"/>
                <w:color w:val="auto"/>
                <w:highlight w:val="none"/>
                <w:u w:val="single"/>
                <w:lang w:val="en-US" w:eastAsia="zh-CN"/>
              </w:rPr>
              <w:t>20</w:t>
            </w:r>
            <w:r>
              <w:rPr>
                <w:rFonts w:hint="eastAsia" w:ascii="仿宋_GB2312" w:hAnsi="仿宋_GB2312" w:eastAsia="仿宋_GB2312"/>
                <w:color w:val="auto"/>
                <w:highlight w:val="none"/>
                <w:u w:val="single"/>
                <w:lang w:eastAsia="zh-CN"/>
              </w:rPr>
              <w:t>日9时00分</w:t>
            </w:r>
            <w:r>
              <w:rPr>
                <w:rFonts w:hint="eastAsia" w:ascii="仿宋_GB2312" w:hAnsi="仿宋_GB2312" w:eastAsia="仿宋_GB2312"/>
                <w:color w:val="auto"/>
                <w:highlight w:val="none"/>
              </w:rPr>
              <w:t>（北京时间）</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2.2.3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投标人确认收到招标文件澄清的时间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在收到相应澄清文件后</w:t>
            </w:r>
            <w:r>
              <w:rPr>
                <w:rFonts w:hint="eastAsia" w:ascii="仿宋_GB2312" w:hAnsi="仿宋_GB2312" w:eastAsia="仿宋_GB2312"/>
                <w:color w:val="auto"/>
                <w:highlight w:val="none"/>
                <w:u w:val="single"/>
              </w:rPr>
              <w:t xml:space="preserve"> 24 </w:t>
            </w:r>
            <w:r>
              <w:rPr>
                <w:rFonts w:hint="eastAsia" w:ascii="仿宋_GB2312" w:hAnsi="仿宋_GB2312" w:eastAsia="仿宋_GB2312"/>
                <w:color w:val="auto"/>
                <w:highlight w:val="none"/>
              </w:rPr>
              <w:t>小时内</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2.3.2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投标人确认收到招标文件修改的时间</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在收到相应修改文件后</w:t>
            </w:r>
            <w:r>
              <w:rPr>
                <w:rFonts w:hint="eastAsia" w:ascii="仿宋_GB2312" w:hAnsi="仿宋_GB2312" w:eastAsia="仿宋_GB2312"/>
                <w:color w:val="auto"/>
                <w:highlight w:val="none"/>
                <w:u w:val="single"/>
              </w:rPr>
              <w:t xml:space="preserve"> 24</w:t>
            </w:r>
            <w:r>
              <w:rPr>
                <w:rFonts w:hint="eastAsia" w:ascii="仿宋_GB2312" w:hAnsi="仿宋_GB2312" w:eastAsia="仿宋_GB2312"/>
                <w:color w:val="auto"/>
                <w:highlight w:val="none"/>
              </w:rPr>
              <w:t>小时内</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3.1.1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构成投标文件的其他材料</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无</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3.3.1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投标有效期</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自投标截止时间起90日历天</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3.4.1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投标保证金</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投标保证金的金额：</w:t>
            </w:r>
            <w:r>
              <w:rPr>
                <w:rFonts w:hint="eastAsia" w:ascii="仿宋_GB2312" w:hAnsi="仿宋_GB2312" w:eastAsia="仿宋_GB2312"/>
                <w:color w:val="auto"/>
                <w:highlight w:val="none"/>
                <w:lang w:eastAsia="zh-CN"/>
              </w:rPr>
              <w:t>人民币贰拾</w:t>
            </w:r>
            <w:r>
              <w:rPr>
                <w:rFonts w:hint="eastAsia" w:ascii="仿宋_GB2312" w:hAnsi="仿宋_GB2312" w:eastAsia="仿宋_GB2312"/>
                <w:color w:val="auto"/>
                <w:highlight w:val="none"/>
              </w:rPr>
              <w:t>万元整</w:t>
            </w:r>
            <w:r>
              <w:rPr>
                <w:rFonts w:hint="eastAsia" w:ascii="仿宋_GB2312" w:hAnsi="仿宋_GB2312" w:eastAsia="仿宋_GB2312"/>
                <w:color w:val="auto"/>
                <w:highlight w:val="none"/>
                <w:lang w:eastAsia="zh-CN"/>
              </w:rPr>
              <w:t>（￥</w:t>
            </w:r>
            <w:r>
              <w:rPr>
                <w:rFonts w:hint="eastAsia" w:ascii="仿宋_GB2312" w:hAnsi="仿宋_GB2312" w:eastAsia="仿宋_GB2312"/>
                <w:color w:val="auto"/>
                <w:highlight w:val="none"/>
                <w:lang w:val="en-US" w:eastAsia="zh-CN"/>
              </w:rPr>
              <w:t>200000元</w:t>
            </w:r>
            <w:r>
              <w:rPr>
                <w:rFonts w:hint="eastAsia" w:ascii="仿宋_GB2312" w:hAnsi="仿宋_GB2312" w:eastAsia="仿宋_GB2312"/>
                <w:color w:val="auto"/>
                <w:highlight w:val="none"/>
                <w:lang w:eastAsia="zh-CN"/>
              </w:rPr>
              <w:t>）</w:t>
            </w:r>
            <w:r>
              <w:rPr>
                <w:rFonts w:hint="eastAsia" w:ascii="仿宋_GB2312" w:hAnsi="仿宋_GB2312" w:eastAsia="仿宋_GB2312"/>
                <w:color w:val="auto"/>
                <w:highlight w:val="none"/>
              </w:rPr>
              <w:t xml:space="preserve"> ；</w:t>
            </w:r>
          </w:p>
          <w:p>
            <w:pPr>
              <w:snapToGrid w:val="0"/>
              <w:spacing w:line="360" w:lineRule="auto"/>
              <w:ind w:left="120"/>
              <w:rPr>
                <w:rFonts w:hint="eastAsia" w:ascii="仿宋_GB2312" w:hAnsi="仿宋_GB2312" w:eastAsia="仿宋_GB2312" w:cs="Times New Roman"/>
                <w:color w:val="auto"/>
                <w:highlight w:val="none"/>
                <w:lang w:eastAsia="zh-CN"/>
              </w:rPr>
            </w:pPr>
            <w:r>
              <w:rPr>
                <w:rFonts w:hint="eastAsia" w:ascii="仿宋_GB2312" w:hAnsi="仿宋_GB2312" w:eastAsia="仿宋_GB2312"/>
                <w:color w:val="auto"/>
                <w:highlight w:val="none"/>
              </w:rPr>
              <w:t>投标保证金的形式：</w:t>
            </w:r>
            <w:r>
              <w:rPr>
                <w:rFonts w:hint="eastAsia" w:ascii="仿宋_GB2312" w:hAnsi="仿宋_GB2312" w:eastAsia="仿宋_GB2312"/>
                <w:color w:val="auto"/>
                <w:highlight w:val="none"/>
                <w:lang w:eastAsia="zh-CN"/>
              </w:rPr>
              <w:t>根据</w:t>
            </w:r>
            <w:r>
              <w:rPr>
                <w:rFonts w:hint="eastAsia" w:ascii="仿宋_GB2312" w:hAnsi="仿宋_GB2312" w:eastAsia="仿宋_GB2312" w:cs="Times New Roman"/>
                <w:color w:val="auto"/>
                <w:highlight w:val="none"/>
                <w:lang w:eastAsia="zh-CN"/>
              </w:rPr>
              <w:t>《河南省公共资源交易中心关于推行电子投标保函的通知》自2019年12月25日起，在河南省公共资源交易中心进行交易的项目，保证金递交方式采取银行转账、电子投标保函并行的运行模式，投标人可自行选择投标保证金递交方式。</w:t>
            </w:r>
          </w:p>
          <w:p>
            <w:pPr>
              <w:snapToGrid w:val="0"/>
              <w:spacing w:line="360" w:lineRule="auto"/>
              <w:ind w:left="120"/>
              <w:rPr>
                <w:rFonts w:hint="eastAsia" w:ascii="仿宋_GB2312" w:hAnsi="仿宋_GB2312" w:eastAsia="仿宋_GB2312" w:cs="Times New Roman"/>
                <w:i w:val="0"/>
                <w:caps w:val="0"/>
                <w:color w:val="auto"/>
                <w:spacing w:val="0"/>
                <w:sz w:val="24"/>
                <w:szCs w:val="24"/>
                <w:highlight w:val="none"/>
              </w:rPr>
            </w:pPr>
            <w:r>
              <w:rPr>
                <w:rFonts w:hint="eastAsia" w:ascii="仿宋_GB2312" w:hAnsi="仿宋_GB2312" w:eastAsia="仿宋_GB2312" w:cs="Times New Roman"/>
                <w:i w:val="0"/>
                <w:caps w:val="0"/>
                <w:color w:val="auto"/>
                <w:spacing w:val="0"/>
                <w:sz w:val="24"/>
                <w:szCs w:val="24"/>
                <w:highlight w:val="none"/>
                <w:lang w:val="en-US" w:eastAsia="zh-CN"/>
              </w:rPr>
              <w:t>1.</w:t>
            </w:r>
            <w:r>
              <w:rPr>
                <w:rFonts w:hint="eastAsia" w:ascii="仿宋_GB2312" w:hAnsi="仿宋_GB2312" w:eastAsia="仿宋_GB2312" w:cs="Times New Roman"/>
                <w:i w:val="0"/>
                <w:caps w:val="0"/>
                <w:color w:val="auto"/>
                <w:spacing w:val="0"/>
                <w:sz w:val="24"/>
                <w:szCs w:val="24"/>
                <w:highlight w:val="none"/>
                <w:shd w:val="clear" w:color="auto" w:fill="FFFFFF"/>
              </w:rPr>
              <w:t>银行转账递交方法。投标人在投标截止时间前，将投标保证金从公司基本账户一次性汇入指定账户。</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帐户名称: 河南省公共资源交易中心</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开户银行：中信银行股份有限公司郑州分行营业部</w:t>
            </w:r>
          </w:p>
          <w:p>
            <w:pPr>
              <w:snapToGrid w:val="0"/>
              <w:spacing w:line="360" w:lineRule="auto"/>
              <w:ind w:left="120"/>
              <w:rPr>
                <w:rFonts w:hint="default" w:ascii="仿宋_GB2312" w:hAnsi="仿宋_GB2312" w:eastAsia="仿宋_GB2312"/>
                <w:color w:val="auto"/>
                <w:highlight w:val="none"/>
              </w:rPr>
            </w:pPr>
            <w:r>
              <w:rPr>
                <w:rFonts w:hint="eastAsia" w:ascii="仿宋_GB2312" w:hAnsi="仿宋_GB2312" w:eastAsia="仿宋_GB2312"/>
                <w:color w:val="auto"/>
                <w:highlight w:val="none"/>
              </w:rPr>
              <w:t>银行帐号：3111110015990103107</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s="Times New Roman"/>
                <w:i w:val="0"/>
                <w:caps w:val="0"/>
                <w:color w:val="auto"/>
                <w:spacing w:val="0"/>
                <w:sz w:val="24"/>
                <w:szCs w:val="24"/>
                <w:highlight w:val="none"/>
                <w:lang w:val="en-US" w:eastAsia="zh-CN"/>
              </w:rPr>
              <w:t>2.</w:t>
            </w:r>
            <w:r>
              <w:rPr>
                <w:rFonts w:hint="eastAsia" w:ascii="仿宋_GB2312" w:hAnsi="仿宋_GB2312" w:eastAsia="仿宋_GB2312" w:cs="Times New Roman"/>
                <w:i w:val="0"/>
                <w:caps w:val="0"/>
                <w:color w:val="auto"/>
                <w:spacing w:val="0"/>
                <w:sz w:val="24"/>
                <w:szCs w:val="24"/>
                <w:highlight w:val="none"/>
                <w:shd w:val="clear" w:color="auto" w:fill="FFFFFF"/>
              </w:rPr>
              <w:t>电子投标保函递交方法。投标人直接在使用的电子招投标系统上点击开具保函项，按要求操作，在线确认企业信息并选择银行/担保机构，由银行/担保机构为投标人在线开具电子投标保函。在投标截止时间前开具成功的电子投标保函系统自动确认生效,并通过电子交易系统在线递交。</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3.5.2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近年财务状况的年份要求</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color w:val="auto"/>
                <w:highlight w:val="none"/>
              </w:rPr>
            </w:pPr>
            <w:r>
              <w:rPr>
                <w:rFonts w:hint="eastAsia" w:ascii="仿宋_GB2312" w:hAnsi="仿宋_GB2312" w:eastAsia="仿宋_GB2312"/>
                <w:color w:val="auto"/>
                <w:highlight w:val="none"/>
                <w:shd w:val="clear" w:color="000000" w:fill="auto"/>
                <w:lang w:eastAsia="zh-CN"/>
              </w:rPr>
              <w:t>投标人财务状况良好，提供2019年度审计报告，公司成立时间不足一年的，附自行出具的财务报表说明或2020年1月1日以来基本户银行出具的资信证明</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3.5.3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近年完成的类似项目的时间要求</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最近3年（2017年</w:t>
            </w:r>
            <w:r>
              <w:rPr>
                <w:rFonts w:hint="eastAsia" w:ascii="仿宋_GB2312" w:hAnsi="仿宋_GB2312" w:eastAsia="仿宋_GB2312"/>
                <w:color w:val="auto"/>
                <w:highlight w:val="none"/>
                <w:lang w:val="en-US" w:eastAsia="zh-CN"/>
              </w:rPr>
              <w:t>7</w:t>
            </w:r>
            <w:r>
              <w:rPr>
                <w:rFonts w:hint="eastAsia" w:ascii="仿宋_GB2312" w:hAnsi="仿宋_GB2312" w:eastAsia="仿宋_GB2312"/>
                <w:color w:val="auto"/>
                <w:highlight w:val="none"/>
              </w:rPr>
              <w:t>月1日</w:t>
            </w:r>
            <w:r>
              <w:rPr>
                <w:rFonts w:hint="eastAsia" w:ascii="仿宋_GB2312" w:hAnsi="仿宋_GB2312" w:eastAsia="仿宋_GB2312"/>
                <w:color w:val="auto"/>
                <w:highlight w:val="none"/>
                <w:lang w:eastAsia="zh-CN"/>
              </w:rPr>
              <w:t>以来，合同签订时间</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3.5.5</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近年发生的诉讼及仲裁情况的年份要求</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最近3年（2017年</w:t>
            </w:r>
            <w:r>
              <w:rPr>
                <w:rFonts w:hint="eastAsia" w:ascii="仿宋_GB2312" w:hAnsi="仿宋_GB2312" w:eastAsia="仿宋_GB2312"/>
                <w:color w:val="auto"/>
                <w:highlight w:val="none"/>
                <w:lang w:val="en-US" w:eastAsia="zh-CN"/>
              </w:rPr>
              <w:t>7</w:t>
            </w:r>
            <w:r>
              <w:rPr>
                <w:rFonts w:hint="eastAsia" w:ascii="仿宋_GB2312" w:hAnsi="仿宋_GB2312" w:eastAsia="仿宋_GB2312"/>
                <w:color w:val="auto"/>
                <w:highlight w:val="none"/>
              </w:rPr>
              <w:t>月1日</w:t>
            </w:r>
            <w:r>
              <w:rPr>
                <w:rFonts w:hint="eastAsia" w:ascii="仿宋_GB2312" w:hAnsi="仿宋_GB2312" w:eastAsia="仿宋_GB2312"/>
                <w:color w:val="auto"/>
                <w:highlight w:val="none"/>
                <w:lang w:eastAsia="zh-CN"/>
              </w:rPr>
              <w:t>以来</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3.6</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是否允许递交</w:t>
            </w:r>
          </w:p>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备选投标方案</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不允许</w:t>
            </w:r>
          </w:p>
        </w:tc>
      </w:tr>
      <w:tr>
        <w:tblPrEx>
          <w:tblCellMar>
            <w:top w:w="0" w:type="dxa"/>
            <w:left w:w="0" w:type="dxa"/>
            <w:bottom w:w="0" w:type="dxa"/>
            <w:right w:w="0" w:type="dxa"/>
          </w:tblCellMar>
        </w:tblPrEx>
        <w:trPr>
          <w:trHeight w:val="269"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3.7.3</w:t>
            </w:r>
          </w:p>
          <w:p>
            <w:pPr>
              <w:snapToGrid w:val="0"/>
              <w:spacing w:line="360" w:lineRule="auto"/>
              <w:jc w:val="center"/>
              <w:rPr>
                <w:rFonts w:ascii="宋体"/>
                <w:color w:val="auto"/>
                <w:sz w:val="20"/>
                <w:highlight w:val="none"/>
              </w:rPr>
            </w:pPr>
          </w:p>
          <w:p>
            <w:pPr>
              <w:snapToGrid w:val="0"/>
              <w:spacing w:line="360" w:lineRule="auto"/>
              <w:jc w:val="center"/>
              <w:rPr>
                <w:rFonts w:ascii="宋体"/>
                <w:color w:val="auto"/>
                <w:sz w:val="20"/>
                <w:highlight w:val="none"/>
              </w:rPr>
            </w:pP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签字和（或）盖章要求</w:t>
            </w:r>
          </w:p>
          <w:p>
            <w:pPr>
              <w:snapToGrid w:val="0"/>
              <w:spacing w:line="360" w:lineRule="auto"/>
              <w:jc w:val="center"/>
              <w:rPr>
                <w:rFonts w:ascii="宋体"/>
                <w:color w:val="auto"/>
                <w:sz w:val="20"/>
                <w:highlight w:val="none"/>
              </w:rPr>
            </w:pPr>
          </w:p>
          <w:p>
            <w:pPr>
              <w:snapToGrid w:val="0"/>
              <w:spacing w:line="360" w:lineRule="auto"/>
              <w:jc w:val="center"/>
              <w:rPr>
                <w:rFonts w:ascii="宋体"/>
                <w:color w:val="auto"/>
                <w:sz w:val="20"/>
                <w:highlight w:val="none"/>
              </w:rPr>
            </w:pP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按投标文件格式执行。</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电子投标文件：法定代表人或委托代理人签字是指法定代表人或委托代理人CA锁个人电子签名；盖个人印章是指法定代表人或委托代理人CA锁个人电子个人印章；盖单位公章是指加盖投标人单位的CA 企业电子印章，其他如“投标专用章”无效；已标价工程量清单封面</w:t>
            </w:r>
            <w:r>
              <w:rPr>
                <w:rFonts w:hint="eastAsia" w:ascii="仿宋_GB2312" w:hAnsi="仿宋_GB2312" w:eastAsia="仿宋_GB2312"/>
                <w:color w:val="auto"/>
                <w:highlight w:val="none"/>
                <w:lang w:eastAsia="zh-CN"/>
              </w:rPr>
              <w:t>（投标总价）必须</w:t>
            </w:r>
            <w:r>
              <w:rPr>
                <w:rFonts w:hint="eastAsia" w:ascii="仿宋_GB2312" w:hAnsi="仿宋_GB2312" w:eastAsia="仿宋_GB2312"/>
                <w:color w:val="auto"/>
                <w:highlight w:val="none"/>
              </w:rPr>
              <w:t>加盖投标人公章、法定代表人或其</w:t>
            </w:r>
            <w:r>
              <w:rPr>
                <w:rFonts w:hint="eastAsia" w:ascii="仿宋_GB2312" w:hAnsi="仿宋_GB2312" w:eastAsia="仿宋_GB2312"/>
                <w:color w:val="auto"/>
                <w:highlight w:val="none"/>
                <w:lang w:eastAsia="zh-CN"/>
              </w:rPr>
              <w:t>委托代理人</w:t>
            </w:r>
            <w:r>
              <w:rPr>
                <w:rFonts w:hint="eastAsia" w:ascii="仿宋_GB2312" w:hAnsi="仿宋_GB2312" w:eastAsia="仿宋_GB2312"/>
                <w:color w:val="auto"/>
                <w:highlight w:val="none"/>
              </w:rPr>
              <w:t>的</w:t>
            </w:r>
            <w:r>
              <w:rPr>
                <w:rFonts w:hint="eastAsia" w:ascii="仿宋_GB2312" w:hAnsi="仿宋_GB2312" w:eastAsia="仿宋_GB2312"/>
                <w:color w:val="auto"/>
                <w:highlight w:val="none"/>
                <w:lang w:eastAsia="zh-CN"/>
              </w:rPr>
              <w:t>个人</w:t>
            </w:r>
            <w:r>
              <w:rPr>
                <w:rFonts w:hint="eastAsia" w:ascii="仿宋_GB2312" w:hAnsi="仿宋_GB2312" w:eastAsia="仿宋_GB2312"/>
                <w:color w:val="auto"/>
                <w:highlight w:val="none"/>
              </w:rPr>
              <w:t>印章或签字、注册在本单位的造价人员执业资格专用章及签字。如本单位无造价人员，应委托具有相应造价资质的中介机构编制工程量清单报价并加盖其注册造价人员执业资格专用章和签字、中介机构资质章和公章。委托代理人、</w:t>
            </w:r>
            <w:r>
              <w:rPr>
                <w:rFonts w:hint="eastAsia" w:ascii="仿宋_GB2312" w:hAnsi="仿宋_GB2312" w:eastAsia="仿宋_GB2312"/>
                <w:color w:val="auto"/>
                <w:highlight w:val="none"/>
                <w:lang w:eastAsia="zh-CN"/>
              </w:rPr>
              <w:t>造价人员</w:t>
            </w:r>
            <w:r>
              <w:rPr>
                <w:rFonts w:hint="eastAsia" w:ascii="仿宋_GB2312" w:hAnsi="仿宋_GB2312" w:eastAsia="仿宋_GB2312"/>
                <w:color w:val="auto"/>
                <w:highlight w:val="none"/>
              </w:rPr>
              <w:t>或委托的造价中介机构等若未办理 CA 锁，则需上传手动签字</w:t>
            </w:r>
            <w:r>
              <w:rPr>
                <w:rFonts w:hint="eastAsia" w:ascii="仿宋_GB2312" w:hAnsi="仿宋_GB2312" w:eastAsia="仿宋_GB2312"/>
                <w:color w:val="auto"/>
                <w:highlight w:val="none"/>
                <w:lang w:eastAsia="zh-CN"/>
              </w:rPr>
              <w:t>（盖章）</w:t>
            </w:r>
            <w:r>
              <w:rPr>
                <w:rFonts w:hint="eastAsia" w:ascii="仿宋_GB2312" w:hAnsi="仿宋_GB2312" w:eastAsia="仿宋_GB2312"/>
                <w:color w:val="auto"/>
                <w:highlight w:val="none"/>
              </w:rPr>
              <w:t>的扫描件。电子投标文件中其他需要签字或盖个人印章的相关人员没有CA锁的可参照上述执行。</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3.7.4</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投标文件份数</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 w:hAnsi="仿宋" w:eastAsia="仿宋" w:cs="仿宋_GB2312"/>
                <w:b/>
                <w:color w:val="auto"/>
                <w:highlight w:val="none"/>
              </w:rPr>
            </w:pPr>
            <w:r>
              <w:rPr>
                <w:rFonts w:hint="eastAsia" w:ascii="仿宋" w:hAnsi="仿宋" w:eastAsia="仿宋" w:cs="仿宋_GB2312"/>
                <w:b/>
                <w:color w:val="auto"/>
                <w:highlight w:val="none"/>
              </w:rPr>
              <w:t>投标人必须在投标截止时间前提供：</w:t>
            </w:r>
          </w:p>
          <w:p>
            <w:pPr>
              <w:snapToGrid w:val="0"/>
              <w:spacing w:line="360" w:lineRule="auto"/>
              <w:ind w:left="120" w:firstLine="0" w:firstLineChars="0"/>
              <w:rPr>
                <w:rFonts w:hint="eastAsia" w:ascii="仿宋" w:hAnsi="仿宋" w:eastAsia="仿宋" w:cs="仿宋_GB2312"/>
                <w:color w:val="auto"/>
                <w:highlight w:val="none"/>
              </w:rPr>
            </w:pPr>
            <w:r>
              <w:rPr>
                <w:rFonts w:hint="eastAsia" w:ascii="仿宋" w:hAnsi="仿宋" w:eastAsia="仿宋" w:cs="仿宋_GB2312"/>
                <w:color w:val="auto"/>
                <w:highlight w:val="none"/>
              </w:rPr>
              <w:t>加密的电子投标文件壹份（*.hntf格式，在市场主体系统指定位置上传）。</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3.7.5</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装订要求</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top"/>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无</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ascii="仿宋_GB2312" w:hAnsi="仿宋_GB2312" w:eastAsia="仿宋_GB2312"/>
                <w:color w:val="auto"/>
                <w:highlight w:val="none"/>
              </w:rPr>
            </w:pPr>
            <w:r>
              <w:rPr>
                <w:rFonts w:hint="eastAsia" w:ascii="仿宋_GB2312" w:hAnsi="仿宋_GB2312" w:eastAsia="仿宋_GB2312"/>
                <w:color w:val="auto"/>
                <w:highlight w:val="none"/>
              </w:rPr>
              <w:t>4.1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是否退还投标文件</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否 </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5.1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开标时间和地点</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开标时间：</w:t>
            </w:r>
            <w:r>
              <w:rPr>
                <w:rFonts w:hint="eastAsia" w:ascii="仿宋_GB2312" w:hAnsi="仿宋_GB2312" w:eastAsia="仿宋_GB2312"/>
                <w:color w:val="auto"/>
                <w:highlight w:val="none"/>
                <w:u w:val="single"/>
                <w:lang w:eastAsia="zh-CN"/>
              </w:rPr>
              <w:t>2020年8月</w:t>
            </w:r>
            <w:r>
              <w:rPr>
                <w:rFonts w:hint="eastAsia" w:ascii="仿宋_GB2312" w:hAnsi="仿宋_GB2312" w:eastAsia="仿宋_GB2312"/>
                <w:color w:val="auto"/>
                <w:highlight w:val="none"/>
                <w:u w:val="single"/>
                <w:lang w:val="en-US" w:eastAsia="zh-CN"/>
              </w:rPr>
              <w:t>20</w:t>
            </w:r>
            <w:r>
              <w:rPr>
                <w:rFonts w:hint="eastAsia" w:ascii="仿宋_GB2312" w:hAnsi="仿宋_GB2312" w:eastAsia="仿宋_GB2312"/>
                <w:color w:val="auto"/>
                <w:highlight w:val="none"/>
                <w:u w:val="single"/>
                <w:lang w:eastAsia="zh-CN"/>
              </w:rPr>
              <w:t>日9时00分</w:t>
            </w:r>
          </w:p>
          <w:p>
            <w:pPr>
              <w:snapToGrid w:val="0"/>
              <w:spacing w:line="360" w:lineRule="auto"/>
              <w:ind w:left="750" w:hanging="630"/>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rPr>
              <w:t>开标地点：</w:t>
            </w:r>
            <w:r>
              <w:rPr>
                <w:rFonts w:hint="eastAsia" w:ascii="仿宋" w:hAnsi="仿宋" w:eastAsia="仿宋" w:cs="仿宋"/>
                <w:color w:val="auto"/>
                <w:highlight w:val="none"/>
              </w:rPr>
              <w:t>河南省公共资源交易中心（郑州市农业路东41号投资大厦 A 座）</w:t>
            </w:r>
            <w:r>
              <w:rPr>
                <w:rFonts w:hint="eastAsia" w:ascii="仿宋" w:hAnsi="仿宋" w:eastAsia="仿宋" w:cs="仿宋"/>
                <w:color w:val="auto"/>
                <w:highlight w:val="none"/>
                <w:lang w:val="en-US" w:eastAsia="zh-CN"/>
              </w:rPr>
              <w:t>第3</w:t>
            </w:r>
            <w:r>
              <w:rPr>
                <w:rFonts w:hint="eastAsia" w:ascii="仿宋" w:hAnsi="仿宋" w:eastAsia="仿宋" w:cs="仿宋"/>
                <w:color w:val="auto"/>
                <w:highlight w:val="none"/>
              </w:rPr>
              <w:t>开标室</w:t>
            </w:r>
          </w:p>
        </w:tc>
      </w:tr>
      <w:tr>
        <w:tblPrEx>
          <w:tblCellMar>
            <w:top w:w="0" w:type="dxa"/>
            <w:left w:w="0" w:type="dxa"/>
            <w:bottom w:w="0" w:type="dxa"/>
            <w:right w:w="0" w:type="dxa"/>
          </w:tblCellMar>
        </w:tblPrEx>
        <w:trPr>
          <w:trHeight w:val="1774"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ascii="宋体"/>
                <w:color w:val="auto"/>
                <w:sz w:val="20"/>
                <w:highlight w:val="none"/>
              </w:rPr>
            </w:pPr>
            <w:r>
              <w:rPr>
                <w:rFonts w:hint="eastAsia" w:ascii="仿宋_GB2312" w:hAnsi="仿宋_GB2312" w:eastAsia="仿宋_GB2312"/>
                <w:color w:val="auto"/>
                <w:highlight w:val="none"/>
              </w:rPr>
              <w:t>5.2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750" w:hanging="63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抽取K值</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1、在监督人现场监督下由招标人拟派的工作人员现场抽取。</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2、将抽取结果在河南省公共资源交易中心系统中群发消息公布。</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6.1.1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评标委员会的组建</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评标委员会构成：招标人代表，与技术、经济等方面的专家共</w:t>
            </w:r>
            <w:r>
              <w:rPr>
                <w:rFonts w:hint="eastAsia" w:ascii="仿宋_GB2312" w:hAnsi="仿宋_GB2312" w:eastAsia="仿宋_GB2312"/>
                <w:color w:val="auto"/>
                <w:highlight w:val="none"/>
                <w:lang w:val="en-US" w:eastAsia="zh-CN"/>
              </w:rPr>
              <w:t>7</w:t>
            </w:r>
            <w:r>
              <w:rPr>
                <w:rFonts w:hint="eastAsia" w:ascii="仿宋_GB2312" w:hAnsi="仿宋_GB2312" w:eastAsia="仿宋_GB2312"/>
                <w:color w:val="auto"/>
                <w:highlight w:val="none"/>
              </w:rPr>
              <w:t>人组成评标委员会，其中评标委员会中的组成人员中的工程造价专家不应少于五分之二。</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评标专家确定方式：从河南省</w:t>
            </w:r>
            <w:r>
              <w:rPr>
                <w:rFonts w:hint="eastAsia" w:ascii="仿宋_GB2312" w:hAnsi="仿宋_GB2312" w:eastAsia="仿宋_GB2312"/>
                <w:color w:val="auto"/>
                <w:highlight w:val="none"/>
                <w:lang w:eastAsia="zh-CN"/>
              </w:rPr>
              <w:t>综合</w:t>
            </w:r>
            <w:r>
              <w:rPr>
                <w:rFonts w:hint="eastAsia" w:ascii="仿宋_GB2312" w:hAnsi="仿宋_GB2312" w:eastAsia="仿宋_GB2312"/>
                <w:color w:val="auto"/>
                <w:highlight w:val="none"/>
              </w:rPr>
              <w:t>专家库中随机抽取。</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7.1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是否授权评标委员会确定中标人</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否，推荐的中标候选人数：1-3名</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7.2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中标候选人公示媒介</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在中标通知书发出前，招标人将在《河南省政府采购网》、《中国政府采购网》、《河南省公共资源交易中心》公示评标结果，公示期为3日。</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7.4.1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履约担保</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履约担保的形式：采用银行转账形式交纳。</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履约担保的金额：中标价格的3%。</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 w:hAnsi="仿宋" w:eastAsia="仿宋" w:cs="仿宋"/>
                <w:color w:val="auto"/>
                <w:szCs w:val="21"/>
                <w:highlight w:val="none"/>
                <w:shd w:val="clear" w:color="auto" w:fill="FFFFFF"/>
              </w:rPr>
              <w:t>承包人提交履约担保的时间</w:t>
            </w:r>
            <w:r>
              <w:rPr>
                <w:rFonts w:hint="eastAsia" w:ascii="仿宋" w:hAnsi="仿宋" w:eastAsia="仿宋" w:cs="仿宋"/>
                <w:color w:val="auto"/>
                <w:szCs w:val="21"/>
                <w:highlight w:val="none"/>
                <w:shd w:val="clear" w:color="auto" w:fill="FFFFFF"/>
                <w:lang w:eastAsia="zh-CN"/>
              </w:rPr>
              <w:t>：</w:t>
            </w:r>
            <w:r>
              <w:rPr>
                <w:rFonts w:hint="eastAsia" w:ascii="仿宋" w:hAnsi="仿宋" w:eastAsia="仿宋" w:cs="仿宋"/>
                <w:color w:val="auto"/>
                <w:szCs w:val="21"/>
                <w:highlight w:val="none"/>
                <w:u w:val="none"/>
                <w:shd w:val="clear" w:color="auto" w:fill="FFFFFF"/>
              </w:rPr>
              <w:t>中标通知书发出7日内</w:t>
            </w:r>
            <w:r>
              <w:rPr>
                <w:rFonts w:hint="eastAsia" w:ascii="仿宋" w:hAnsi="仿宋" w:eastAsia="仿宋" w:cs="仿宋"/>
                <w:color w:val="auto"/>
                <w:szCs w:val="21"/>
                <w:highlight w:val="none"/>
                <w:u w:val="none"/>
                <w:shd w:val="clear" w:color="auto" w:fill="FFFFFF"/>
                <w:lang w:eastAsia="zh-CN"/>
              </w:rPr>
              <w:t>，且在</w:t>
            </w:r>
            <w:r>
              <w:rPr>
                <w:rFonts w:hint="eastAsia" w:ascii="仿宋" w:hAnsi="仿宋" w:eastAsia="仿宋" w:cs="仿宋"/>
                <w:color w:val="auto"/>
                <w:szCs w:val="21"/>
                <w:highlight w:val="none"/>
                <w:shd w:val="clear" w:color="auto" w:fill="FFFFFF"/>
                <w:lang w:eastAsia="zh-CN"/>
              </w:rPr>
              <w:t>合同签订前递交至招标人。</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开户名称：华北水利水电大学</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开 户 行：农行农业路支行</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账    号：16060101040007091</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注：履约保证金须从中标单位基本账户转出，转账时请简要写明本招标项目名称，以便核对。签订合同时须向学校承办单位出示本项目中标通知书及学校财务开具的履约保证金收据。</w:t>
            </w:r>
          </w:p>
          <w:p>
            <w:pPr>
              <w:autoSpaceDE w:val="0"/>
              <w:autoSpaceDN w:val="0"/>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履约担保的退还：</w:t>
            </w:r>
            <w:r>
              <w:rPr>
                <w:rFonts w:hint="eastAsia" w:ascii="仿宋_GB2312" w:hAnsi="仿宋_GB2312" w:eastAsia="仿宋_GB2312"/>
                <w:color w:val="auto"/>
                <w:highlight w:val="none"/>
                <w:lang w:eastAsia="zh-CN"/>
              </w:rPr>
              <w:t>按合同约定</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439" w:hRule="atLeast"/>
          <w:jc w:val="center"/>
        </w:trPr>
        <w:tc>
          <w:tcPr>
            <w:tcW w:w="9206"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10 需要补充的其他内容</w:t>
            </w:r>
          </w:p>
        </w:tc>
      </w:tr>
      <w:tr>
        <w:tblPrEx>
          <w:tblCellMar>
            <w:top w:w="0" w:type="dxa"/>
            <w:left w:w="0" w:type="dxa"/>
            <w:bottom w:w="0" w:type="dxa"/>
            <w:right w:w="0" w:type="dxa"/>
          </w:tblCellMar>
        </w:tblPrEx>
        <w:trPr>
          <w:trHeight w:val="466" w:hRule="atLeast"/>
          <w:jc w:val="center"/>
        </w:trPr>
        <w:tc>
          <w:tcPr>
            <w:tcW w:w="9206" w:type="dxa"/>
            <w:gridSpan w:val="3"/>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10.1 词语定义</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10.1.1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类似项目业绩</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【类似项目是指：</w:t>
            </w:r>
            <w:r>
              <w:rPr>
                <w:rFonts w:hint="eastAsia" w:ascii="仿宋_GB2312" w:hAnsi="仿宋_GB2312" w:eastAsia="仿宋_GB2312"/>
                <w:color w:val="auto"/>
                <w:highlight w:val="none"/>
                <w:lang w:val="en-US" w:eastAsia="zh-CN"/>
              </w:rPr>
              <w:t>供配电工程施工</w:t>
            </w:r>
            <w:r>
              <w:rPr>
                <w:rFonts w:hint="eastAsia" w:ascii="仿宋_GB2312" w:hAnsi="仿宋_GB2312" w:eastAsia="仿宋_GB2312"/>
                <w:color w:val="auto"/>
                <w:highlight w:val="none"/>
                <w:shd w:val="clear" w:color="000000" w:fill="auto"/>
              </w:rPr>
              <w:t>业绩</w:t>
            </w:r>
            <w:r>
              <w:rPr>
                <w:rFonts w:hint="eastAsia" w:ascii="仿宋_GB2312" w:hAnsi="仿宋_GB2312" w:eastAsia="仿宋_GB2312"/>
                <w:color w:val="auto"/>
                <w:highlight w:val="none"/>
              </w:rPr>
              <w:t>，业绩开始时间以合同签订时间为准，完成时间以工程竣工验收合格报告出具时间为准。】</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ascii="宋体"/>
                <w:color w:val="auto"/>
                <w:sz w:val="20"/>
                <w:highlight w:val="none"/>
              </w:rPr>
            </w:pPr>
            <w:r>
              <w:rPr>
                <w:rFonts w:hint="eastAsia" w:ascii="仿宋_GB2312" w:hAnsi="仿宋_GB2312" w:eastAsia="仿宋_GB2312"/>
                <w:color w:val="auto"/>
                <w:highlight w:val="none"/>
              </w:rPr>
              <w:t>10.1.2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ascii="宋体"/>
                <w:color w:val="auto"/>
                <w:sz w:val="20"/>
                <w:highlight w:val="none"/>
              </w:rPr>
            </w:pPr>
            <w:r>
              <w:rPr>
                <w:rFonts w:hint="eastAsia" w:ascii="仿宋_GB2312" w:hAnsi="仿宋_GB2312" w:eastAsia="仿宋_GB2312"/>
                <w:color w:val="auto"/>
                <w:highlight w:val="none"/>
              </w:rPr>
              <w:t>不良行为记录</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在工程建设过程中违反有关工程建设的法律、法规、规章或强制性标准和执业行为规范，经上级行政主管部门或其委托的执法监督机构查实和行政处罚，形成的不良行为记录。</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b/>
                <w:color w:val="auto"/>
                <w:highlight w:val="none"/>
              </w:rPr>
            </w:pPr>
            <w:r>
              <w:rPr>
                <w:rFonts w:hint="eastAsia" w:ascii="仿宋_GB2312" w:hAnsi="仿宋_GB2312" w:eastAsia="仿宋_GB2312"/>
                <w:color w:val="auto"/>
                <w:highlight w:val="none"/>
              </w:rPr>
              <w:t>招标控制价</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_GB2312" w:hAnsi="仿宋_GB2312" w:eastAsia="仿宋_GB2312"/>
                <w:color w:val="auto"/>
                <w:highlight w:val="none"/>
              </w:rPr>
              <w:t>本项目设招标控制价，招标控制价（含不可竞争费）为</w:t>
            </w:r>
            <w:r>
              <w:rPr>
                <w:rFonts w:hint="eastAsia" w:ascii="仿宋" w:hAnsi="仿宋" w:eastAsia="仿宋" w:cs="仿宋"/>
                <w:color w:val="auto"/>
                <w:highlight w:val="none"/>
              </w:rPr>
              <w:t>15998326.71</w:t>
            </w:r>
            <w:r>
              <w:rPr>
                <w:rFonts w:hint="eastAsia" w:ascii="仿宋_GB2312" w:hAnsi="仿宋_GB2312" w:eastAsia="仿宋_GB2312"/>
                <w:color w:val="auto"/>
                <w:highlight w:val="none"/>
              </w:rPr>
              <w:t>元，投标人的投标报价超过招标控制价的，其投标将被否决，不再参与评标基准值的计算。招标控制价（不含不可竞争费）为</w:t>
            </w:r>
            <w:r>
              <w:rPr>
                <w:rFonts w:hint="eastAsia" w:ascii="仿宋_GB2312" w:hAnsi="仿宋_GB2312" w:eastAsia="仿宋_GB2312"/>
                <w:color w:val="auto"/>
                <w:highlight w:val="none"/>
                <w:lang w:val="en-US" w:eastAsia="zh-CN"/>
              </w:rPr>
              <w:t>14244173.03</w:t>
            </w:r>
            <w:r>
              <w:rPr>
                <w:rFonts w:hint="eastAsia" w:ascii="仿宋_GB2312" w:hAnsi="仿宋_GB2312" w:eastAsia="仿宋_GB2312"/>
                <w:color w:val="auto"/>
                <w:highlight w:val="none"/>
              </w:rPr>
              <w:t>元，此价格仅做为计算评标基准价之用。</w:t>
            </w:r>
            <w:r>
              <w:rPr>
                <w:rFonts w:hint="eastAsia" w:ascii="仿宋_GB2312" w:hAnsi="仿宋_GB2312" w:eastAsia="仿宋_GB2312"/>
                <w:color w:val="auto"/>
                <w:highlight w:val="none"/>
              </w:rPr>
              <w:br w:type="textWrapping"/>
            </w:r>
            <w:r>
              <w:rPr>
                <w:rFonts w:hint="eastAsia" w:ascii="仿宋_GB2312" w:hAnsi="仿宋_GB2312" w:eastAsia="仿宋_GB2312"/>
                <w:color w:val="auto"/>
                <w:highlight w:val="none"/>
              </w:rPr>
              <w:t xml:space="preserve">其中，分部分项工程费总额14152172.35元，措施项目费总额279011.31元，其他项目费用总额 </w:t>
            </w:r>
            <w:r>
              <w:rPr>
                <w:rFonts w:hint="eastAsia" w:ascii="仿宋_GB2312" w:hAnsi="仿宋_GB2312" w:eastAsia="仿宋_GB2312"/>
                <w:color w:val="auto"/>
                <w:highlight w:val="none"/>
                <w:lang w:val="en-US" w:eastAsia="zh-CN"/>
              </w:rPr>
              <w:t>50000</w:t>
            </w:r>
            <w:r>
              <w:rPr>
                <w:rFonts w:hint="eastAsia" w:ascii="仿宋_GB2312" w:hAnsi="仿宋_GB2312" w:eastAsia="仿宋_GB2312"/>
                <w:color w:val="auto"/>
                <w:highlight w:val="none"/>
              </w:rPr>
              <w:t>元，安全文明施工费总额187010.63元，暂列金额为50000元，专业工程暂估价0元，材料暂估价0元，规费196180.29元，增值税1320962.76元。</w:t>
            </w:r>
          </w:p>
        </w:tc>
      </w:tr>
      <w:tr>
        <w:tblPrEx>
          <w:tblCellMar>
            <w:top w:w="0" w:type="dxa"/>
            <w:left w:w="0" w:type="dxa"/>
            <w:bottom w:w="0" w:type="dxa"/>
            <w:right w:w="0" w:type="dxa"/>
          </w:tblCellMar>
        </w:tblPrEx>
        <w:trPr>
          <w:trHeight w:val="1157"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b/>
                <w:color w:val="auto"/>
                <w:highlight w:val="none"/>
              </w:rPr>
            </w:pPr>
            <w:r>
              <w:rPr>
                <w:rFonts w:hint="eastAsia" w:ascii="仿宋_GB2312" w:hAnsi="仿宋_GB2312" w:eastAsia="仿宋_GB2312"/>
                <w:color w:val="auto"/>
                <w:highlight w:val="none"/>
              </w:rPr>
              <w:t>技术标是否采用“暗标”评审方式</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jc w:val="left"/>
              <w:rPr>
                <w:rFonts w:hint="eastAsia" w:ascii="仿宋_GB2312" w:hAnsi="仿宋_GB2312" w:eastAsia="仿宋_GB2312"/>
                <w:b/>
                <w:color w:val="auto"/>
                <w:highlight w:val="none"/>
              </w:rPr>
            </w:pPr>
            <w:r>
              <w:rPr>
                <w:rFonts w:hint="eastAsia" w:ascii="仿宋_GB2312" w:hAnsi="仿宋_GB2312" w:eastAsia="仿宋_GB2312"/>
                <w:color w:val="auto"/>
                <w:highlight w:val="none"/>
              </w:rPr>
              <w:t>不采用</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10.4</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投标文件电子版</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投标人需按照“新点”投标文件制作软件和投标文件格式要求编制电子投标文件，</w:t>
            </w:r>
            <w:r>
              <w:rPr>
                <w:rFonts w:hint="eastAsia" w:ascii="仿宋_GB2312" w:hAnsi="仿宋_GB2312" w:eastAsia="仿宋_GB2312"/>
                <w:b/>
                <w:color w:val="auto"/>
                <w:highlight w:val="none"/>
              </w:rPr>
              <w:t>且以电子投标文件内容为准</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689"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10.5</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是否实行计算机辅助评标</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是</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10.6</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投标人代表出席开标会</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本项目采用不见面服务，投标人代表可不出席开标会。</w:t>
            </w:r>
          </w:p>
        </w:tc>
      </w:tr>
      <w:tr>
        <w:tblPrEx>
          <w:tblCellMar>
            <w:top w:w="0" w:type="dxa"/>
            <w:left w:w="0" w:type="dxa"/>
            <w:bottom w:w="0" w:type="dxa"/>
            <w:right w:w="0" w:type="dxa"/>
          </w:tblCellMar>
        </w:tblPrEx>
        <w:trPr>
          <w:trHeight w:val="311"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10.7</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知识产权</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构成本招标文件各个组成部分的文件，未经招标人书面同意，投标人不得擅自复印和用于非本招标项目所需的其他目的。</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10.8</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重新招标的其他情形</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除投标人须知正文第8条规定的情形外，除非已经产生中标候选人，在投标有效期内同意延长投标有效期的投标人少于三个的，招标人应当依法重新招标。</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10.9</w:t>
            </w:r>
          </w:p>
          <w:p>
            <w:pPr>
              <w:snapToGrid w:val="0"/>
              <w:spacing w:line="360" w:lineRule="auto"/>
              <w:jc w:val="center"/>
              <w:rPr>
                <w:rFonts w:ascii="宋体"/>
                <w:color w:val="auto"/>
                <w:sz w:val="20"/>
                <w:highlight w:val="none"/>
              </w:rPr>
            </w:pP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同义词语</w:t>
            </w:r>
          </w:p>
          <w:p>
            <w:pPr>
              <w:snapToGrid w:val="0"/>
              <w:spacing w:line="360" w:lineRule="auto"/>
              <w:jc w:val="center"/>
              <w:rPr>
                <w:rFonts w:ascii="宋体"/>
                <w:color w:val="auto"/>
                <w:sz w:val="20"/>
                <w:highlight w:val="none"/>
              </w:rPr>
            </w:pP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构成招标文件组成部分的“通用合同条款”、“专用合同条款”、“技术标准和要求”等章节中出现的措辞“发包人”和“承包人”，在招标投标阶段应当分别按“招标人”和“投标人”进行理解。</w:t>
            </w:r>
          </w:p>
        </w:tc>
      </w:tr>
      <w:tr>
        <w:tblPrEx>
          <w:tblCellMar>
            <w:top w:w="0" w:type="dxa"/>
            <w:left w:w="0" w:type="dxa"/>
            <w:bottom w:w="0" w:type="dxa"/>
            <w:right w:w="0" w:type="dxa"/>
          </w:tblCellMar>
        </w:tblPrEx>
        <w:trPr>
          <w:trHeight w:val="787"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10.10</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监督</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本项目的招标投标活动及其相关当事人应当接受有管辖权的招标投标行政监督部门依法实施的监督。</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10.11</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解释权</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10.12</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投标文件编制建议</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keepNext w:val="0"/>
              <w:keepLines w:val="0"/>
              <w:widowControl/>
              <w:suppressLineNumbers w:val="0"/>
              <w:snapToGrid w:val="0"/>
              <w:spacing w:line="360" w:lineRule="auto"/>
              <w:ind w:left="120"/>
              <w:jc w:val="left"/>
              <w:rPr>
                <w:rFonts w:hint="eastAsia" w:ascii="仿宋" w:hAnsi="仿宋" w:eastAsia="仿宋" w:cs="仿宋_GB2312"/>
                <w:color w:val="auto"/>
                <w:highlight w:val="none"/>
              </w:rPr>
            </w:pPr>
            <w:r>
              <w:rPr>
                <w:rFonts w:hint="eastAsia" w:ascii="仿宋" w:hAnsi="仿宋" w:eastAsia="仿宋" w:cs="仿宋_GB2312"/>
                <w:color w:val="auto"/>
                <w:kern w:val="0"/>
                <w:sz w:val="24"/>
                <w:szCs w:val="24"/>
                <w:highlight w:val="none"/>
                <w:lang w:val="en-US" w:eastAsia="zh-CN" w:bidi="ar"/>
              </w:rPr>
              <w:t xml:space="preserve">为方便评审工作高效进行，建议事项如下： </w:t>
            </w:r>
          </w:p>
          <w:p>
            <w:pPr>
              <w:keepNext w:val="0"/>
              <w:keepLines w:val="0"/>
              <w:widowControl/>
              <w:suppressLineNumbers w:val="0"/>
              <w:snapToGrid w:val="0"/>
              <w:spacing w:line="360" w:lineRule="auto"/>
              <w:ind w:left="120"/>
              <w:jc w:val="left"/>
              <w:rPr>
                <w:rFonts w:hint="eastAsia" w:ascii="仿宋" w:hAnsi="仿宋" w:eastAsia="仿宋" w:cs="仿宋_GB2312"/>
                <w:color w:val="auto"/>
                <w:highlight w:val="none"/>
              </w:rPr>
            </w:pPr>
            <w:r>
              <w:rPr>
                <w:rFonts w:hint="eastAsia" w:ascii="仿宋" w:hAnsi="仿宋" w:eastAsia="仿宋" w:cs="仿宋_GB2312"/>
                <w:color w:val="auto"/>
                <w:kern w:val="0"/>
                <w:sz w:val="24"/>
                <w:szCs w:val="24"/>
                <w:highlight w:val="none"/>
                <w:lang w:val="en-US" w:eastAsia="zh-CN" w:bidi="ar"/>
              </w:rPr>
              <w:t xml:space="preserve">1.建议投标文件编制目录及页码； </w:t>
            </w:r>
          </w:p>
          <w:p>
            <w:pPr>
              <w:keepNext w:val="0"/>
              <w:keepLines w:val="0"/>
              <w:widowControl/>
              <w:suppressLineNumbers w:val="0"/>
              <w:snapToGrid w:val="0"/>
              <w:spacing w:line="360" w:lineRule="auto"/>
              <w:ind w:left="120"/>
              <w:jc w:val="left"/>
              <w:rPr>
                <w:rFonts w:hint="eastAsia" w:ascii="仿宋" w:hAnsi="仿宋" w:eastAsia="仿宋" w:cs="仿宋_GB2312"/>
                <w:color w:val="auto"/>
                <w:highlight w:val="none"/>
              </w:rPr>
            </w:pPr>
            <w:r>
              <w:rPr>
                <w:rFonts w:hint="eastAsia" w:ascii="仿宋" w:hAnsi="仿宋" w:eastAsia="仿宋" w:cs="仿宋_GB2312"/>
                <w:color w:val="auto"/>
                <w:kern w:val="0"/>
                <w:sz w:val="24"/>
                <w:szCs w:val="24"/>
                <w:highlight w:val="none"/>
                <w:lang w:val="en-US" w:eastAsia="zh-CN" w:bidi="ar"/>
              </w:rPr>
              <w:t xml:space="preserve">2.建议编制投标文件导航窗格；（即各级标题） </w:t>
            </w:r>
          </w:p>
          <w:p>
            <w:pPr>
              <w:snapToGrid w:val="0"/>
              <w:spacing w:line="360" w:lineRule="auto"/>
              <w:ind w:left="120"/>
              <w:rPr>
                <w:rFonts w:hint="eastAsia" w:ascii="仿宋_GB2312" w:hAnsi="仿宋_GB2312" w:eastAsia="仿宋_GB2312"/>
                <w:color w:val="auto"/>
                <w:highlight w:val="none"/>
              </w:rPr>
            </w:pPr>
            <w:r>
              <w:rPr>
                <w:rFonts w:hint="eastAsia" w:ascii="仿宋" w:hAnsi="仿宋" w:eastAsia="仿宋" w:cs="仿宋_GB2312"/>
                <w:color w:val="auto"/>
                <w:kern w:val="0"/>
                <w:sz w:val="24"/>
                <w:szCs w:val="24"/>
                <w:highlight w:val="none"/>
                <w:lang w:val="en-US" w:eastAsia="zh-CN" w:bidi="ar"/>
              </w:rPr>
              <w:t>3.请在上传投标文件时“其他内容”上传完整的投标文件。</w:t>
            </w:r>
          </w:p>
        </w:tc>
      </w:tr>
      <w:tr>
        <w:tblPrEx>
          <w:tblCellMar>
            <w:top w:w="0" w:type="dxa"/>
            <w:left w:w="0" w:type="dxa"/>
            <w:bottom w:w="0" w:type="dxa"/>
            <w:right w:w="0" w:type="dxa"/>
          </w:tblCellMar>
        </w:tblPrEx>
        <w:trPr>
          <w:trHeight w:val="5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10.1</w:t>
            </w:r>
            <w:r>
              <w:rPr>
                <w:rFonts w:hint="eastAsia" w:ascii="仿宋_GB2312" w:hAnsi="仿宋_GB2312" w:eastAsia="仿宋_GB2312"/>
                <w:color w:val="auto"/>
                <w:highlight w:val="none"/>
                <w:lang w:val="en-US" w:eastAsia="zh-CN"/>
              </w:rPr>
              <w:t>3</w:t>
            </w:r>
          </w:p>
        </w:tc>
        <w:tc>
          <w:tcPr>
            <w:tcW w:w="1856"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其他内容</w:t>
            </w:r>
          </w:p>
        </w:tc>
        <w:tc>
          <w:tcPr>
            <w:tcW w:w="6442"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参照国家计价格[2002]1980号文件及发改价格[2011]534号文件所规定的收费标准、计算基数（以中标金额为基数）和发改办价格[2003]857号文的规定计算后按80%收取，由中标人支付。</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中标人</w:t>
            </w:r>
            <w:r>
              <w:rPr>
                <w:rFonts w:hint="eastAsia" w:ascii="仿宋" w:hAnsi="仿宋" w:eastAsia="仿宋" w:cs="仿宋"/>
                <w:b w:val="0"/>
                <w:bCs w:val="0"/>
                <w:color w:val="auto"/>
                <w:sz w:val="24"/>
                <w:szCs w:val="24"/>
                <w:highlight w:val="none"/>
              </w:rPr>
              <w:t>领取</w:t>
            </w:r>
            <w:r>
              <w:rPr>
                <w:rFonts w:hint="eastAsia" w:ascii="仿宋" w:hAnsi="仿宋" w:eastAsia="仿宋" w:cs="仿宋"/>
                <w:b w:val="0"/>
                <w:bCs w:val="0"/>
                <w:color w:val="auto"/>
                <w:sz w:val="24"/>
                <w:szCs w:val="24"/>
                <w:highlight w:val="none"/>
                <w:lang w:eastAsia="zh-CN"/>
              </w:rPr>
              <w:t>中标通知书</w:t>
            </w:r>
            <w:r>
              <w:rPr>
                <w:rFonts w:hint="eastAsia" w:ascii="仿宋" w:hAnsi="仿宋" w:eastAsia="仿宋" w:cs="仿宋"/>
                <w:b w:val="0"/>
                <w:bCs w:val="0"/>
                <w:color w:val="auto"/>
                <w:sz w:val="24"/>
                <w:szCs w:val="24"/>
                <w:highlight w:val="none"/>
              </w:rPr>
              <w:t>时，应按上述规定向招标代理机构按包支付</w:t>
            </w:r>
            <w:r>
              <w:rPr>
                <w:rFonts w:hint="eastAsia" w:ascii="仿宋" w:hAnsi="仿宋" w:eastAsia="仿宋" w:cs="仿宋"/>
                <w:b w:val="0"/>
                <w:bCs w:val="0"/>
                <w:color w:val="auto"/>
                <w:sz w:val="24"/>
                <w:szCs w:val="24"/>
                <w:highlight w:val="none"/>
                <w:lang w:eastAsia="zh-CN"/>
              </w:rPr>
              <w:t>中标服务费</w:t>
            </w:r>
            <w:r>
              <w:rPr>
                <w:rFonts w:hint="eastAsia" w:ascii="仿宋" w:hAnsi="仿宋" w:eastAsia="仿宋" w:cs="仿宋"/>
                <w:b w:val="0"/>
                <w:bCs w:val="0"/>
                <w:color w:val="auto"/>
                <w:sz w:val="24"/>
                <w:szCs w:val="24"/>
                <w:highlight w:val="none"/>
              </w:rPr>
              <w:t>，具体标准和计算办法如下：</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合同金额(万元)                费率</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100以下                       1.</w:t>
            </w:r>
            <w:r>
              <w:rPr>
                <w:rFonts w:hint="eastAsia" w:ascii="仿宋" w:hAnsi="仿宋" w:eastAsia="仿宋" w:cs="仿宋"/>
                <w:b w:val="0"/>
                <w:bCs w:val="0"/>
                <w:color w:val="auto"/>
                <w:sz w:val="24"/>
                <w:szCs w:val="24"/>
                <w:highlight w:val="none"/>
                <w:lang w:val="en-US" w:eastAsia="zh-CN"/>
              </w:rPr>
              <w:t>0</w:t>
            </w:r>
            <w:r>
              <w:rPr>
                <w:rFonts w:hint="eastAsia" w:ascii="仿宋" w:hAnsi="仿宋" w:eastAsia="仿宋" w:cs="仿宋"/>
                <w:b w:val="0"/>
                <w:bCs w:val="0"/>
                <w:color w:val="auto"/>
                <w:sz w:val="24"/>
                <w:szCs w:val="24"/>
                <w:highlight w:val="none"/>
              </w:rPr>
              <w:t>%</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100-500</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0.7</w:t>
            </w:r>
            <w:r>
              <w:rPr>
                <w:rFonts w:hint="eastAsia" w:ascii="仿宋" w:hAnsi="仿宋" w:eastAsia="仿宋" w:cs="仿宋"/>
                <w:b w:val="0"/>
                <w:bCs w:val="0"/>
                <w:color w:val="auto"/>
                <w:sz w:val="24"/>
                <w:szCs w:val="24"/>
                <w:highlight w:val="none"/>
              </w:rPr>
              <w:t>%</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500-1000</w:t>
            </w:r>
            <w:r>
              <w:rPr>
                <w:rFonts w:hint="eastAsia" w:ascii="仿宋" w:hAnsi="仿宋" w:eastAsia="仿宋" w:cs="仿宋"/>
                <w:b w:val="0"/>
                <w:bCs w:val="0"/>
                <w:color w:val="auto"/>
                <w:sz w:val="24"/>
                <w:szCs w:val="24"/>
                <w:highlight w:val="none"/>
              </w:rPr>
              <w:tab/>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val="en-US" w:eastAsia="zh-CN"/>
              </w:rPr>
              <w:t xml:space="preserve">  0.55</w:t>
            </w:r>
            <w:r>
              <w:rPr>
                <w:rFonts w:hint="eastAsia" w:ascii="仿宋" w:hAnsi="仿宋" w:eastAsia="仿宋" w:cs="仿宋"/>
                <w:b w:val="0"/>
                <w:bCs w:val="0"/>
                <w:color w:val="auto"/>
                <w:sz w:val="24"/>
                <w:szCs w:val="24"/>
                <w:highlight w:val="none"/>
              </w:rPr>
              <w:t>%</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w:t>
            </w:r>
            <w:r>
              <w:rPr>
                <w:rFonts w:hint="eastAsia" w:ascii="仿宋" w:hAnsi="仿宋" w:eastAsia="仿宋" w:cs="仿宋"/>
                <w:b w:val="0"/>
                <w:bCs w:val="0"/>
                <w:color w:val="auto"/>
                <w:sz w:val="24"/>
                <w:szCs w:val="24"/>
                <w:highlight w:val="none"/>
                <w:lang w:eastAsia="zh-CN"/>
              </w:rPr>
              <w:t>中标服务费</w:t>
            </w:r>
            <w:r>
              <w:rPr>
                <w:rFonts w:hint="eastAsia" w:ascii="仿宋" w:hAnsi="仿宋" w:eastAsia="仿宋" w:cs="仿宋"/>
                <w:b w:val="0"/>
                <w:bCs w:val="0"/>
                <w:color w:val="auto"/>
                <w:sz w:val="24"/>
                <w:szCs w:val="24"/>
                <w:highlight w:val="none"/>
              </w:rPr>
              <w:t>按差额定率累进法计算。例如：某分包中标金额为500万元，计算</w:t>
            </w:r>
            <w:r>
              <w:rPr>
                <w:rFonts w:hint="eastAsia" w:ascii="仿宋" w:hAnsi="仿宋" w:eastAsia="仿宋" w:cs="仿宋"/>
                <w:b w:val="0"/>
                <w:bCs w:val="0"/>
                <w:color w:val="auto"/>
                <w:sz w:val="24"/>
                <w:szCs w:val="24"/>
                <w:highlight w:val="none"/>
                <w:lang w:eastAsia="zh-CN"/>
              </w:rPr>
              <w:t>中标服务费</w:t>
            </w:r>
            <w:r>
              <w:rPr>
                <w:rFonts w:hint="eastAsia" w:ascii="仿宋" w:hAnsi="仿宋" w:eastAsia="仿宋" w:cs="仿宋"/>
                <w:b w:val="0"/>
                <w:bCs w:val="0"/>
                <w:color w:val="auto"/>
                <w:sz w:val="24"/>
                <w:szCs w:val="24"/>
                <w:highlight w:val="none"/>
              </w:rPr>
              <w:t>额如下：</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100万元×1.</w:t>
            </w:r>
            <w:r>
              <w:rPr>
                <w:rFonts w:hint="eastAsia" w:ascii="仿宋" w:hAnsi="仿宋" w:eastAsia="仿宋" w:cs="仿宋"/>
                <w:b w:val="0"/>
                <w:bCs w:val="0"/>
                <w:color w:val="auto"/>
                <w:sz w:val="24"/>
                <w:szCs w:val="24"/>
                <w:highlight w:val="none"/>
                <w:lang w:val="en-US"/>
              </w:rPr>
              <w:t>0</w:t>
            </w:r>
            <w:r>
              <w:rPr>
                <w:rFonts w:hint="eastAsia"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lang w:val="en-US"/>
              </w:rPr>
              <w:t>0</w:t>
            </w:r>
            <w:r>
              <w:rPr>
                <w:rFonts w:hint="eastAsia" w:ascii="仿宋" w:hAnsi="仿宋" w:eastAsia="仿宋" w:cs="仿宋"/>
                <w:b w:val="0"/>
                <w:bCs w:val="0"/>
                <w:color w:val="auto"/>
                <w:sz w:val="24"/>
                <w:szCs w:val="24"/>
                <w:highlight w:val="none"/>
              </w:rPr>
              <w:t>万元，(500－100)×</w:t>
            </w:r>
            <w:r>
              <w:rPr>
                <w:rFonts w:hint="eastAsia" w:ascii="仿宋" w:hAnsi="仿宋" w:eastAsia="仿宋" w:cs="仿宋"/>
                <w:b w:val="0"/>
                <w:bCs w:val="0"/>
                <w:color w:val="auto"/>
                <w:sz w:val="24"/>
                <w:szCs w:val="24"/>
                <w:highlight w:val="none"/>
                <w:lang w:val="en-US"/>
              </w:rPr>
              <w:t>0.7</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rPr>
              <w:t>2.8</w:t>
            </w:r>
            <w:r>
              <w:rPr>
                <w:rFonts w:hint="eastAsia" w:ascii="仿宋" w:hAnsi="仿宋" w:eastAsia="仿宋" w:cs="仿宋"/>
                <w:b w:val="0"/>
                <w:bCs w:val="0"/>
                <w:color w:val="auto"/>
                <w:sz w:val="24"/>
                <w:szCs w:val="24"/>
                <w:highlight w:val="none"/>
              </w:rPr>
              <w:t>万元</w:t>
            </w:r>
          </w:p>
          <w:p>
            <w:pPr>
              <w:snapToGrid w:val="0"/>
              <w:spacing w:after="0" w:line="360" w:lineRule="auto"/>
              <w:ind w:left="12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合计收费=1.</w:t>
            </w:r>
            <w:r>
              <w:rPr>
                <w:rFonts w:hint="eastAsia" w:ascii="仿宋" w:hAnsi="仿宋" w:eastAsia="仿宋" w:cs="仿宋"/>
                <w:b w:val="0"/>
                <w:bCs w:val="0"/>
                <w:color w:val="auto"/>
                <w:sz w:val="24"/>
                <w:szCs w:val="24"/>
                <w:highlight w:val="none"/>
                <w:lang w:val="en-US"/>
              </w:rPr>
              <w:t>0</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rPr>
              <w:t>2.8</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rPr>
              <w:t>3.8</w:t>
            </w:r>
            <w:r>
              <w:rPr>
                <w:rFonts w:hint="eastAsia" w:ascii="仿宋" w:hAnsi="仿宋" w:eastAsia="仿宋" w:cs="仿宋"/>
                <w:b w:val="0"/>
                <w:bCs w:val="0"/>
                <w:color w:val="auto"/>
                <w:sz w:val="24"/>
                <w:szCs w:val="24"/>
                <w:highlight w:val="none"/>
              </w:rPr>
              <w:t>万元</w:t>
            </w:r>
          </w:p>
          <w:p>
            <w:pPr>
              <w:snapToGrid w:val="0"/>
              <w:spacing w:after="0" w:line="360" w:lineRule="auto"/>
              <w:ind w:left="120"/>
              <w:rPr>
                <w:rFonts w:hint="eastAsia"/>
                <w:color w:val="auto"/>
                <w:highlight w:val="none"/>
              </w:rPr>
            </w:pPr>
            <w:r>
              <w:rPr>
                <w:rFonts w:hint="eastAsia" w:ascii="仿宋" w:hAnsi="仿宋" w:eastAsia="仿宋" w:cs="仿宋"/>
                <w:b w:val="0"/>
                <w:bCs w:val="0"/>
                <w:color w:val="auto"/>
                <w:sz w:val="24"/>
                <w:szCs w:val="24"/>
                <w:highlight w:val="none"/>
              </w:rPr>
              <w:t>实际收费=</w:t>
            </w:r>
            <w:r>
              <w:rPr>
                <w:rFonts w:hint="eastAsia" w:ascii="仿宋" w:hAnsi="仿宋" w:eastAsia="仿宋" w:cs="仿宋"/>
                <w:b w:val="0"/>
                <w:bCs w:val="0"/>
                <w:color w:val="auto"/>
                <w:sz w:val="24"/>
                <w:szCs w:val="24"/>
                <w:highlight w:val="none"/>
                <w:lang w:val="en-US"/>
              </w:rPr>
              <w:t>3.8</w:t>
            </w:r>
            <w:r>
              <w:rPr>
                <w:rFonts w:hint="eastAsia" w:ascii="仿宋" w:hAnsi="仿宋" w:eastAsia="仿宋" w:cs="仿宋"/>
                <w:b w:val="0"/>
                <w:bCs w:val="0"/>
                <w:color w:val="auto"/>
                <w:sz w:val="24"/>
                <w:szCs w:val="24"/>
                <w:highlight w:val="none"/>
              </w:rPr>
              <w:t>万元*80%=</w:t>
            </w:r>
            <w:r>
              <w:rPr>
                <w:rFonts w:hint="eastAsia" w:ascii="仿宋" w:hAnsi="仿宋" w:eastAsia="仿宋" w:cs="仿宋"/>
                <w:b w:val="0"/>
                <w:bCs w:val="0"/>
                <w:color w:val="auto"/>
                <w:sz w:val="24"/>
                <w:szCs w:val="24"/>
                <w:highlight w:val="none"/>
                <w:lang w:val="en-US"/>
              </w:rPr>
              <w:t>3.04</w:t>
            </w:r>
            <w:r>
              <w:rPr>
                <w:rFonts w:hint="eastAsia" w:ascii="仿宋" w:hAnsi="仿宋" w:eastAsia="仿宋" w:cs="仿宋"/>
                <w:b w:val="0"/>
                <w:bCs w:val="0"/>
                <w:color w:val="auto"/>
                <w:sz w:val="24"/>
                <w:szCs w:val="24"/>
                <w:highlight w:val="none"/>
              </w:rPr>
              <w:t>万元</w:t>
            </w:r>
          </w:p>
        </w:tc>
      </w:tr>
      <w:tr>
        <w:tblPrEx>
          <w:tblCellMar>
            <w:top w:w="0" w:type="dxa"/>
            <w:left w:w="0" w:type="dxa"/>
            <w:bottom w:w="0" w:type="dxa"/>
            <w:right w:w="0" w:type="dxa"/>
          </w:tblCellMar>
        </w:tblPrEx>
        <w:trPr>
          <w:trHeight w:val="310" w:hRule="atLeast"/>
          <w:jc w:val="center"/>
        </w:trPr>
        <w:tc>
          <w:tcPr>
            <w:tcW w:w="908" w:type="dxa"/>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10.13</w:t>
            </w:r>
          </w:p>
          <w:p>
            <w:pPr>
              <w:snapToGrid w:val="0"/>
              <w:spacing w:line="360" w:lineRule="auto"/>
              <w:jc w:val="center"/>
              <w:rPr>
                <w:rFonts w:ascii="宋体"/>
                <w:color w:val="auto"/>
                <w:sz w:val="20"/>
                <w:highlight w:val="none"/>
              </w:rPr>
            </w:pPr>
          </w:p>
          <w:p>
            <w:pPr>
              <w:snapToGrid w:val="0"/>
              <w:spacing w:line="360" w:lineRule="auto"/>
              <w:jc w:val="center"/>
              <w:rPr>
                <w:rFonts w:ascii="宋体"/>
                <w:color w:val="auto"/>
                <w:sz w:val="20"/>
                <w:highlight w:val="none"/>
              </w:rPr>
            </w:pPr>
          </w:p>
        </w:tc>
        <w:tc>
          <w:tcPr>
            <w:tcW w:w="8298" w:type="dxa"/>
            <w:gridSpan w:val="2"/>
            <w:tcBorders>
              <w:top w:val="single" w:color="000000" w:sz="4" w:space="0"/>
              <w:left w:val="single" w:color="000000" w:sz="4" w:space="0"/>
              <w:bottom w:val="single" w:color="000000" w:sz="4" w:space="0"/>
              <w:right w:val="single" w:color="000000" w:sz="4" w:space="0"/>
            </w:tcBorders>
            <w:noWrap w:val="0"/>
            <w:tcMar>
              <w:top w:w="0" w:type="dxa"/>
              <w:left w:w="28" w:type="dxa"/>
              <w:bottom w:w="0" w:type="dxa"/>
              <w:right w:w="28"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（1）本项目通过河南省公共资源交易中心系统实施电子招投标，必须通过河南省公共资源交易中心系统递交电子投标文件，具体操作流程登陆河南省公共资源交易中心网站查看。</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在制作电子投标文件时，“投标文件制作工具”左侧栏目中“投标函”为河南省公共资源交易中心系统默认设置，该“投标函”与本项目投标无关，但为保证系统运行正常，该“投标函”需填写相关内容并电子签章，投标人只需填写与本项目相关的信息或填写“无”即可。</w:t>
            </w:r>
          </w:p>
        </w:tc>
      </w:tr>
    </w:tbl>
    <w:p>
      <w:pPr>
        <w:snapToGrid w:val="0"/>
        <w:spacing w:line="360" w:lineRule="auto"/>
        <w:outlineLvl w:val="1"/>
        <w:rPr>
          <w:rFonts w:hint="eastAsia" w:ascii="仿宋_GB2312" w:hAnsi="仿宋_GB2312" w:eastAsia="仿宋_GB2312"/>
          <w:b/>
          <w:color w:val="auto"/>
          <w:highlight w:val="none"/>
        </w:rPr>
      </w:pPr>
      <w:r>
        <w:rPr>
          <w:color w:val="auto"/>
          <w:highlight w:val="none"/>
        </w:rPr>
        <w:br w:type="page"/>
      </w:r>
      <w:bookmarkStart w:id="12" w:name="_Toc9402"/>
      <w:r>
        <w:rPr>
          <w:rFonts w:hint="eastAsia" w:ascii="仿宋_GB2312" w:hAnsi="仿宋_GB2312" w:eastAsia="仿宋_GB2312"/>
          <w:b/>
          <w:color w:val="auto"/>
          <w:highlight w:val="none"/>
        </w:rPr>
        <w:t>1  总则</w:t>
      </w:r>
      <w:bookmarkEnd w:id="12"/>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1.1 项目概况</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1.1.1 根据《中华人民共和国招标投标法》等有关法律、法规和规章的规定，本招标项目己具备招标条件，现对本项目进行招标。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1.1.2 本招标项目招标人：见投标人须知前附表。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1.1.3 本招标项目招标代理机构：见投标人须知前附表。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1.1.4 本招标项目名称：见投标人须知前附表。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1.1.5 本招标项目建设地点：见投标人须知前附表。</w:t>
      </w:r>
    </w:p>
    <w:p>
      <w:pPr>
        <w:keepNext/>
        <w:keepLines/>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1.2 资金来源和落实情况</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1.2.1 本招标项目的资金来源及出资比例：见投标人须知前附表。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1.2.2 本招标项目的资金落实情况：见投标人须知前附表。</w:t>
      </w:r>
    </w:p>
    <w:p>
      <w:pPr>
        <w:keepNext/>
        <w:keepLines/>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1.3 招标范围、计划工期和质量要求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1.3.1本次招标范围：见投标人须知前附表。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1.3.2本项目计划工期：见投标人须知前附表。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1.3.3本项目的质量要求：见投标人须知前附表。若因中标人原因造成工程质量达不到投标时所报的质量等级，中标人应无条件返修并承担由此造成的一切损失及赔偿费用。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1.3.4 本项目的保修期要求：见投标人须知前附表。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w:t>
      </w:r>
      <w:r>
        <w:rPr>
          <w:rFonts w:hint="eastAsia" w:ascii="仿宋_GB2312" w:hAnsi="仿宋_GB2312" w:eastAsia="仿宋_GB2312"/>
          <w:color w:val="auto"/>
          <w:highlight w:val="none"/>
          <w:lang w:val="en-US" w:eastAsia="zh-CN"/>
        </w:rPr>
        <w:t xml:space="preserve">5 </w:t>
      </w:r>
      <w:r>
        <w:rPr>
          <w:rFonts w:hint="eastAsia" w:ascii="仿宋_GB2312" w:hAnsi="仿宋_GB2312" w:eastAsia="仿宋_GB2312"/>
          <w:color w:val="auto"/>
          <w:highlight w:val="none"/>
        </w:rPr>
        <w:t>本项目的</w:t>
      </w:r>
      <w:r>
        <w:rPr>
          <w:rFonts w:hint="eastAsia" w:ascii="仿宋_GB2312" w:hAnsi="仿宋_GB2312" w:eastAsia="仿宋_GB2312"/>
          <w:color w:val="auto"/>
          <w:highlight w:val="none"/>
          <w:lang w:eastAsia="zh-CN"/>
        </w:rPr>
        <w:t>缺陷责任期</w:t>
      </w:r>
      <w:r>
        <w:rPr>
          <w:rFonts w:hint="eastAsia" w:ascii="仿宋_GB2312" w:hAnsi="仿宋_GB2312" w:eastAsia="仿宋_GB2312"/>
          <w:color w:val="auto"/>
          <w:highlight w:val="none"/>
        </w:rPr>
        <w:t>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1.3.</w:t>
      </w:r>
      <w:r>
        <w:rPr>
          <w:rFonts w:hint="eastAsia" w:ascii="仿宋_GB2312" w:hAnsi="仿宋_GB2312" w:eastAsia="仿宋_GB2312"/>
          <w:color w:val="auto"/>
          <w:highlight w:val="none"/>
          <w:lang w:val="en-US" w:eastAsia="zh-CN"/>
        </w:rPr>
        <w:t>6</w:t>
      </w:r>
      <w:r>
        <w:rPr>
          <w:rFonts w:hint="eastAsia" w:ascii="仿宋_GB2312" w:hAnsi="仿宋_GB2312" w:eastAsia="仿宋_GB2312"/>
          <w:color w:val="auto"/>
          <w:highlight w:val="none"/>
        </w:rPr>
        <w:t xml:space="preserve"> 本项目的</w:t>
      </w:r>
      <w:r>
        <w:rPr>
          <w:rFonts w:hint="eastAsia" w:ascii="仿宋_GB2312" w:hAnsi="仿宋_GB2312" w:eastAsia="仿宋_GB2312"/>
          <w:color w:val="auto"/>
          <w:highlight w:val="none"/>
          <w:lang w:eastAsia="zh-CN"/>
        </w:rPr>
        <w:t>主要设备质保期</w:t>
      </w:r>
      <w:r>
        <w:rPr>
          <w:rFonts w:hint="eastAsia" w:ascii="仿宋_GB2312" w:hAnsi="仿宋_GB2312" w:eastAsia="仿宋_GB2312"/>
          <w:color w:val="auto"/>
          <w:highlight w:val="none"/>
        </w:rPr>
        <w:t>要求：见投标人须知前附表。</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1.4 投标人资格要求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1.4.1 投标人应具备承担本工程施工的资质条件、能力和信誉。</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（1）资质条件：见投标人须知前附表；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（2）项目经理资格：见投标人须知前附表；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3</w:t>
      </w:r>
      <w:r>
        <w:rPr>
          <w:rFonts w:hint="eastAsia" w:ascii="仿宋_GB2312" w:hAnsi="仿宋_GB2312" w:eastAsia="仿宋_GB2312"/>
          <w:color w:val="auto"/>
          <w:highlight w:val="none"/>
        </w:rPr>
        <w:t>）财务要求：见投标人须知前附表；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4</w:t>
      </w:r>
      <w:r>
        <w:rPr>
          <w:rFonts w:hint="eastAsia" w:ascii="仿宋_GB2312" w:hAnsi="仿宋_GB2312" w:eastAsia="仿宋_GB2312"/>
          <w:color w:val="auto"/>
          <w:highlight w:val="none"/>
        </w:rPr>
        <w:t>）信誉要求：见投标人须知前附表；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5</w:t>
      </w:r>
      <w:r>
        <w:rPr>
          <w:rFonts w:hint="eastAsia" w:ascii="仿宋_GB2312" w:hAnsi="仿宋_GB2312" w:eastAsia="仿宋_GB2312"/>
          <w:color w:val="auto"/>
          <w:highlight w:val="none"/>
        </w:rPr>
        <w:t>）其他要求：见投标人须知前附表。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1.4.2 本项目不接受联合体投标。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1.4.3 投标人不得存在下列情形之一：</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（1）为招标人不具有独立法人资格的附属机构（单位）；</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（2）为本招标项目前期准备提供设计或咨询服务的，但设计施工总承包的除外；</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（3）为本招标项目的监理人；</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（4）为本招标项目的代建人；</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（5）为本招标项目提供招标代理服务的；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（6）与本招标项目的监理人或代建人或招标代理机构同为一个法定代表人的；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（7）与本招标项目的监理人或代建人或招标代理机构相互控股或参股的；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（8）与本招标项目的监理人或代建人或招标代理机构相互任职或工作的；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（9）被责令停业的；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（10）被暂停或取消投标资格的；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（11）财产被接管或冻结的；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（12）在最近三年内有骗取中标或严重违约或重大工程质量问题的。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1.4.4单位负责人为同一人或者存在控股、管理关系的不同单位，不得同时参加本项目同一标段的投标或未划分多个标段的同一项目的投标。</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1.5 费用承担</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投标人准备和参加投标活动发生的费用自理。</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1.6 保密</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参与招标投标活动的各方应对招标文件和投标文件中的商业和技术等秘密保密，违者应对由此造成的后果承担法律责任。 </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1.7 语言文字</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除专用术语外，与招标投标有关的语言均使用中文。必要时专用术语应附有中文注释。</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1.8 计量单位</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所有计量均采用中华人民共和国法定计量单位。</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1.9 踏勘现场</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1.9.1本项目招标人不组织投标人踏勘项目现场，投标人如有需要，请自行现场踏勘。</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1.9.2 投标人踏勘现场发生的费用自理。</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1.9.3 除招标人的原因外，投标人自行负责在踏勘现场中所发生的人员伤亡和财产损失。</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1.9.4 招标人在踏勘现场中介绍的工程场地和相关的周边环境情况，供投标人在编制投标文件时参考，招标人不对投标人据此作出的判断和决策负责。</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1.10 投标预备会</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本项目不召开投标预备会。</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1.11 分包</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详见</w:t>
      </w:r>
      <w:r>
        <w:rPr>
          <w:rFonts w:hint="eastAsia" w:ascii="仿宋_GB2312" w:hAnsi="仿宋_GB2312" w:eastAsia="仿宋_GB2312"/>
          <w:color w:val="auto"/>
          <w:highlight w:val="none"/>
        </w:rPr>
        <w:t>投标人须知前附表</w:t>
      </w:r>
      <w:r>
        <w:rPr>
          <w:rFonts w:hint="eastAsia" w:ascii="仿宋_GB2312" w:hAnsi="仿宋_GB2312" w:eastAsia="仿宋_GB2312"/>
          <w:color w:val="auto"/>
          <w:highlight w:val="none"/>
          <w:lang w:eastAsia="zh-CN"/>
        </w:rPr>
        <w:t>要求</w:t>
      </w:r>
      <w:r>
        <w:rPr>
          <w:rFonts w:hint="eastAsia" w:ascii="仿宋_GB2312" w:hAnsi="仿宋_GB2312" w:eastAsia="仿宋_GB2312"/>
          <w:color w:val="auto"/>
          <w:highlight w:val="none"/>
        </w:rPr>
        <w:t>。</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1.12 偏离</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投标文件不允许偏离</w:t>
      </w:r>
      <w:r>
        <w:rPr>
          <w:rFonts w:hint="eastAsia" w:ascii="仿宋_GB2312" w:hAnsi="仿宋_GB2312" w:eastAsia="仿宋_GB2312"/>
          <w:color w:val="auto"/>
          <w:highlight w:val="none"/>
          <w:lang w:eastAsia="zh-CN"/>
        </w:rPr>
        <w:t>内容按</w:t>
      </w:r>
      <w:r>
        <w:rPr>
          <w:rFonts w:hint="eastAsia" w:ascii="仿宋_GB2312" w:hAnsi="仿宋_GB2312" w:eastAsia="仿宋_GB2312"/>
          <w:color w:val="auto"/>
          <w:highlight w:val="none"/>
        </w:rPr>
        <w:t>招标文件的要求。</w:t>
      </w:r>
    </w:p>
    <w:p>
      <w:pPr>
        <w:snapToGrid w:val="0"/>
        <w:spacing w:line="360" w:lineRule="auto"/>
        <w:outlineLvl w:val="1"/>
        <w:rPr>
          <w:rFonts w:hint="eastAsia" w:ascii="仿宋_GB2312" w:hAnsi="仿宋_GB2312" w:eastAsia="仿宋_GB2312"/>
          <w:b/>
          <w:color w:val="auto"/>
          <w:highlight w:val="none"/>
        </w:rPr>
      </w:pPr>
      <w:bookmarkStart w:id="13" w:name="_Toc20394"/>
      <w:r>
        <w:rPr>
          <w:rFonts w:hint="eastAsia" w:ascii="仿宋_GB2312" w:hAnsi="仿宋_GB2312" w:eastAsia="仿宋_GB2312"/>
          <w:b/>
          <w:color w:val="auto"/>
          <w:highlight w:val="none"/>
        </w:rPr>
        <w:t>2  招标文件</w:t>
      </w:r>
      <w:bookmarkEnd w:id="13"/>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2.1 招标文件的组成</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本招标文件包括：</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（1）招标公告；</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（2）投标人须知；</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（3）评标办法；</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（4）合同条款及格式；</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（5）工程量清单；</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（6）图纸；</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（7）技术标准和要求；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（8）投标文件格式；</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（9）投标人须知前附表规定的其他材料。</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根据本章第1.10款、第2.2款和第2.3款对招标文件所作的澄清、修改，构成招标文件的组成部分。</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2.2 招标文件的澄清</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2.2.1 投标人应仔细阅读和检查招标文件的全部内容。如发现缺页或附件不全，应及时向招标人提出，以便补齐。如有疑问，应在投标人须知前附表规定的时间前上传至河南省公共资源交易中心网站相关板块，要求招标人对招标文件予以澄清。</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2.2.2 招标文件的澄清将在投标人须知前附表规定的投标截止时间15天前上传至河南省公共资源交易中心网站，但不指明澄清问题的来源。如果澄清发出的时间距投标截止时间不足15 天，相应延长投标截止时间。</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2.2.3投标人应经常关注河南省公共资源交易中心系统，在招标人发出澄清通知后，即视为投标人已确认收到该澄清。</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2.3 招标文件的修改</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2.3.1 在投标截止时间15天前，招标人可以修改招标文件，并将修改内容上传至河南省公共资源交易中心网站。如果修改招标文件的时间距投标截止时间不足15天，相应延长投标截止时间。</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2.3.2投标人应经常关注河南省公共资源交易中心系统，在招标人发出修改通知后，即视为投标人已确认收到该修改。</w:t>
      </w:r>
    </w:p>
    <w:p>
      <w:pPr>
        <w:snapToGrid w:val="0"/>
        <w:spacing w:line="360" w:lineRule="auto"/>
        <w:outlineLvl w:val="1"/>
        <w:rPr>
          <w:rFonts w:hint="eastAsia" w:ascii="仿宋_GB2312" w:hAnsi="仿宋_GB2312" w:eastAsia="仿宋_GB2312"/>
          <w:b/>
          <w:color w:val="auto"/>
          <w:highlight w:val="none"/>
        </w:rPr>
      </w:pPr>
      <w:bookmarkStart w:id="14" w:name="_Toc18019"/>
      <w:r>
        <w:rPr>
          <w:rFonts w:hint="eastAsia" w:ascii="仿宋_GB2312" w:hAnsi="仿宋_GB2312" w:eastAsia="仿宋_GB2312"/>
          <w:b/>
          <w:color w:val="auto"/>
          <w:highlight w:val="none"/>
        </w:rPr>
        <w:t>3  投标文件</w:t>
      </w:r>
      <w:bookmarkEnd w:id="14"/>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3.1 投标文件的组成</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投标文件应包括下列内容：</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（1）投标函及投标函附录；</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（2）法定代表人身份证明及授权委托书；</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（3）</w:t>
      </w:r>
      <w:r>
        <w:rPr>
          <w:rFonts w:hint="eastAsia" w:ascii="仿宋" w:hAnsi="仿宋" w:eastAsia="仿宋" w:cs="仿宋_GB2312"/>
          <w:color w:val="auto"/>
          <w:highlight w:val="none"/>
          <w:lang w:eastAsia="zh-CN"/>
        </w:rPr>
        <w:t>投标保证金缴纳证明</w:t>
      </w:r>
      <w:r>
        <w:rPr>
          <w:rFonts w:hint="eastAsia" w:ascii="仿宋_GB2312" w:hAnsi="仿宋_GB2312" w:eastAsia="仿宋_GB2312"/>
          <w:color w:val="auto"/>
          <w:highlight w:val="none"/>
        </w:rPr>
        <w:t>；</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（4）已标价工程量清单；</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（5）施工组织设计；</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（6）项目管理机构；</w:t>
      </w:r>
    </w:p>
    <w:p>
      <w:pPr>
        <w:tabs>
          <w:tab w:val="left" w:pos="2918"/>
        </w:tabs>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（7）资格审查资料；</w:t>
      </w:r>
      <w:r>
        <w:rPr>
          <w:rFonts w:hint="eastAsia" w:ascii="仿宋_GB2312" w:hAnsi="仿宋_GB2312" w:eastAsia="仿宋_GB2312"/>
          <w:color w:val="auto"/>
          <w:highlight w:val="none"/>
        </w:rPr>
        <w:tab/>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（8）近年类似工程项目业绩；</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（9）反商业贿赂承诺书；</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（10）其他材料。</w:t>
      </w:r>
    </w:p>
    <w:p>
      <w:pPr>
        <w:snapToGrid w:val="0"/>
        <w:spacing w:line="360" w:lineRule="auto"/>
        <w:ind w:firstLine="207"/>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3.2投标报价</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 投标人应按第五章“工程量清单”的要求填写相应表格。</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3.2.2 投标人在投标截止时间前修改投标函中的投标总报价，应同时修改第五章“工程量清单”中的相应报价。此修改须符合本章第4.3款的有关要求。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3.2.3投标报价的编制应以招标文件中提供工程量清单和本项目技术要求、国家技术规范、标准(按照《建设工程工程量清单计价规范》（GB50500—2013）、《房屋建筑与装饰工程工程量计算规范》（GB50854—2013）、《通用安装工程工程量计算规范》（GB50856—2013）、《河南省房屋建筑与装饰工程预算定额》（HA 01-31-2016）、《河南省市政工程预算定额》（HAA1-31-2016）、国家、省、市有关造价管理规定为报价依据，并结合企业自身的技术与管理水平自主报价，但投标人不得以低于其企业成本的报价竞标。投标总报价超过本项目招标控制价的其投标将被否决。</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3.2.4投标报价是指由投标人计算的完成招标文件规定的全部工作内容所需要的一切费用。包括按招标文件及技术规范、本项目技术要求等规定完成工程量清单所列项目的全部费用（分部分项工程费、措施项目费、其他项目费和规费、增值税）。</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3.2.5工程量清单计价格式中列明的所有需要填报的单价和合价，投标人均应填报，未填报的单价和合价，招标人视为此项费用已包含在工程量清单的其他单价和合价中。</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3.2.6本工程安全文明施工措施费、规费及增值税为不可竞争费用，必须单列。</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3.2.7措施项目清单包括施工期间需要发生的施工技术措施和施工组织措施等项目。</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3.2.8投标人可先到工地现场踏勘，以充分了解工地位置、情况、道路、储存空间、装卸限制及任何其他可能影响承包价的情况，任何因忽视或误解工地情况而导致的索赔或工期延长申请将不被批准。</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3.2.9已标价工程量清单应由本企业的具备有效资质的造价人员编制或委托具有相应资格的中介机构编制。</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3.2.10材料价格《郑州市建设工程材料价格信息》(2020年</w:t>
      </w:r>
      <w:r>
        <w:rPr>
          <w:rFonts w:hint="eastAsia" w:ascii="仿宋_GB2312" w:hAnsi="仿宋_GB2312" w:eastAsia="仿宋_GB2312"/>
          <w:color w:val="auto"/>
          <w:highlight w:val="none"/>
          <w:lang w:eastAsia="zh-CN"/>
        </w:rPr>
        <w:t>最新</w:t>
      </w:r>
      <w:r>
        <w:rPr>
          <w:rFonts w:hint="eastAsia" w:ascii="仿宋_GB2312" w:hAnsi="仿宋_GB2312" w:eastAsia="仿宋_GB2312"/>
          <w:color w:val="auto"/>
          <w:highlight w:val="none"/>
        </w:rPr>
        <w:t>一季度</w:t>
      </w:r>
      <w:r>
        <w:rPr>
          <w:rFonts w:hint="eastAsia" w:ascii="仿宋_GB2312" w:hAnsi="仿宋_GB2312" w:eastAsia="仿宋_GB2312"/>
          <w:color w:val="auto"/>
          <w:highlight w:val="none"/>
          <w:lang w:eastAsia="zh-CN"/>
        </w:rPr>
        <w:t>和月份</w:t>
      </w:r>
      <w:r>
        <w:rPr>
          <w:rFonts w:hint="eastAsia" w:ascii="仿宋_GB2312" w:hAnsi="仿宋_GB2312" w:eastAsia="仿宋_GB2312"/>
          <w:color w:val="auto"/>
          <w:highlight w:val="none"/>
        </w:rPr>
        <w:t>)。</w:t>
      </w:r>
      <w:r>
        <w:rPr>
          <w:rFonts w:hint="eastAsia" w:ascii="仿宋" w:hAnsi="仿宋" w:eastAsia="仿宋"/>
          <w:color w:val="auto"/>
          <w:highlight w:val="none"/>
        </w:rPr>
        <w:t>缺项部分参照当期市场价</w:t>
      </w:r>
      <w:r>
        <w:rPr>
          <w:rFonts w:hint="eastAsia" w:ascii="仿宋_GB2312" w:hAnsi="仿宋_GB2312" w:eastAsia="仿宋_GB2312"/>
          <w:color w:val="auto"/>
          <w:highlight w:val="none"/>
        </w:rPr>
        <w:t>执行。</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3.2.11 </w:t>
      </w:r>
      <w:r>
        <w:rPr>
          <w:rFonts w:hint="eastAsia" w:ascii="仿宋_GB2312" w:hAnsi="仿宋_GB2312" w:eastAsia="仿宋_GB2312" w:cs="仿宋_GB2312"/>
          <w:color w:val="auto"/>
          <w:szCs w:val="21"/>
          <w:highlight w:val="none"/>
        </w:rPr>
        <w:t>因投标人对施工图纸、方案的技术把控能力不够，造成图纸会审中，不同专业施工图纸不吻合、图纸前后矛盾、错误、缺漏等问题没有被提出，投标人必须在施工前积极进行相关技术核定、设计变更的确认工作。对于由此造成工期延长，招标人将不予认可；对于以上原因或错误施工造成的返工、误工等增加的费用，招标人将不予认可</w:t>
      </w:r>
      <w:r>
        <w:rPr>
          <w:rFonts w:hint="eastAsia" w:ascii="仿宋_GB2312" w:hAnsi="仿宋_GB2312" w:eastAsia="仿宋_GB2312"/>
          <w:color w:val="auto"/>
          <w:highlight w:val="none"/>
        </w:rPr>
        <w:t>。</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3.2.12报价中还应考虑的费用 </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3.2.12.1施工现场不提供加工场地，不允许人员居住。</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3.2.12.2在整个施工期间投标人要积极配合该项目各配套专业施工单位进场施工。</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3.2.12.3预防一般性自然灾害所采取的措施费用。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3.2.12.4对现场正常或非正常的停电情况，投标人要自备发电机组以保证施工的连续性，此次报价中应综合考虑，以后将不再计取任何费用。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3.2.12.5 对于工程量清单中的暂定价材料，投标人投标时按照招标人给出的暂定价计入投标总价，相应的采保费、检验费等投标人应承诺已经在投标综合单价中综合考虑计入，在工程结算时不另行计取。结算时材料价差的调整只计取差价和税金，不再计取其他费用，其他费用已经包死在合同价中，招标人给出的暂定价材料价差不进行让利优惠（即不执行合同优惠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3.2.13.6本工程建筑施工垃圾（包含所有因变更签证产生的垃圾）由投标人清运出（包括垃圾在施工现场的二次运输）院区以外，并运到政府认可的垃圾场，所产生的垃圾清运费用在此次报价中综合考虑，以后施工中将不再计取。</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3.2.13.7本工程按照郑州市人民政府关于工程计价项目中社会保障费管理工作的通知【郑政文〔2016〕93号】执行。</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3.3 投标有效期</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3.3.1 本项目投标有效期见投标须知前附表。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3.3.2在投标有效期内，投标人撤销或修改其投标文件的，应承担招标文件和法律规定的责任。</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3.3.3 出现特殊情况需要延长投标有效期的，招标人以书面形式通知所有投标人延长投标有效期。</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投标人同意延长的，应相应延长其投标保证金的有效期，但不得要求或被允许修改或撤销其投标文件；投标人拒绝延长的，其投标失效。</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3.4 投标保证金</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3.4.1 投标人在递交投标文件的同时，应按投标人须知前附表规定的金额、担保形式和第八章“投标文件格式”规定的投标保证金格式递交投标保证金，并作为其投标文件的组成部分。</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3.4.2 投标人不按本章第3.4.1 项要求提交投标保证金的，其投标文件将被否决。</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3.4.3 招标人与中标人签订合同后，按河南省公共资源交易中心和法律规定向未中标的投标人和中标人退还投标保证金。</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3.4.4 有下列情形之一的，投标保证金将不予退还：</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（1）投标人在规定的投标有效期内撤销或修改其投标文件；</w:t>
      </w:r>
    </w:p>
    <w:p>
      <w:pPr>
        <w:snapToGrid w:val="0"/>
        <w:spacing w:line="360" w:lineRule="auto"/>
        <w:ind w:firstLine="420" w:firstLineChars="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（2）中标人在收到中标通知书后，无正当理由拒签合同协议书或未按招标文件规定提交履约担保。</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3.5 资格审查资料</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3.5.1 “投标人基本情况”应附投标人营业执照副本、资质证书副本和安全生产许可证等材料的复印件。</w:t>
      </w:r>
    </w:p>
    <w:p>
      <w:pPr>
        <w:autoSpaceDE w:val="0"/>
        <w:autoSpaceDN w:val="0"/>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3.5.2 “近年财务状况”若附经会计师事务所或审计机构审计的财务审计报告，应包括并不限于资产负债表、现金流量表、利润表和财务情况说明书(或附注)的复印件，具体年份和要求见投标人须知前附表。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3.5.3 “近年完成的类似项目情况表”应附</w:t>
      </w:r>
      <w:r>
        <w:rPr>
          <w:rFonts w:hint="eastAsia" w:ascii="仿宋_GB2312" w:hAnsi="仿宋_GB2312" w:eastAsia="仿宋_GB2312"/>
          <w:color w:val="auto"/>
          <w:highlight w:val="none"/>
          <w:shd w:val="clear" w:color="000000" w:fill="auto"/>
        </w:rPr>
        <w:t>中标通知书、网上中标公示（截图）、合同和竣工验收报告</w:t>
      </w:r>
      <w:r>
        <w:rPr>
          <w:rFonts w:hint="eastAsia" w:ascii="仿宋_GB2312" w:hAnsi="仿宋_GB2312" w:eastAsia="仿宋_GB2312"/>
          <w:color w:val="auto"/>
          <w:highlight w:val="none"/>
        </w:rPr>
        <w:t>的复印件，具体年份要求见投标人须知前附表。每张表格只填写一个项目，并标明序号，填写必须完整准确，不得漏项。</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3.5.4 “近年发生的诉讼及仲裁情况”应说明相关情况，并附法院或仲裁机构作出的判决、裁决等有关法律文书复印件，具体年份要求见投标人须知前附表。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3.5.5 投标人须知前附表规定接受联合体投标的，本章第3.5.1项至第3.5.4项规定的表格和资料应包括联合体各方相关情况。</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3.6 备选投标方案</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除投标人须知前附表另有规定外，投标人不得递交备选投标方案。</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3.7 投标文件的编制</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3.7.1 投标文件应按第八章“投标文件格式”进行编写，如有必要，可以增加附页，作为投标文件的组成部分。</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3.7.2 投标文件应当对招标文件有关工期、投标有效期、质量要求、技术标准和要求、招标内容等实质性内容做出响应。</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3.7.3 电子投标文件应使用“新点”投标文件制作工具制作。委托代理人签字或盖个人印章的，投标文件应附法定代表人签署的授权委托书。投标文件应尽量避免涂改、行间插字或删除。如果出现上述情况，改动之处应加盖单位公章或由投标人的法定代表人或其授权的委托代理人签字或加盖个人印章确认。签字或盖章的具体要求见投标人须知前附表。</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3.7.4 网上投标文件按河南省公共资源交易中心规定和有关法律法规制作上传。若有需要，投标人中标后应按招标人要求另外提供纸质版投标文件以便存档。</w:t>
      </w:r>
    </w:p>
    <w:p>
      <w:pPr>
        <w:snapToGrid w:val="0"/>
        <w:spacing w:line="360" w:lineRule="auto"/>
        <w:outlineLvl w:val="1"/>
        <w:rPr>
          <w:rFonts w:hint="eastAsia" w:ascii="仿宋_GB2312" w:hAnsi="仿宋_GB2312" w:eastAsia="仿宋_GB2312"/>
          <w:b/>
          <w:color w:val="auto"/>
          <w:highlight w:val="none"/>
        </w:rPr>
      </w:pPr>
      <w:bookmarkStart w:id="15" w:name="_Toc9800"/>
      <w:r>
        <w:rPr>
          <w:rFonts w:hint="eastAsia" w:ascii="仿宋_GB2312" w:hAnsi="仿宋_GB2312" w:eastAsia="仿宋_GB2312"/>
          <w:b/>
          <w:color w:val="auto"/>
          <w:highlight w:val="none"/>
        </w:rPr>
        <w:t>4  投标</w:t>
      </w:r>
      <w:bookmarkEnd w:id="15"/>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4.1 投标文件的密封和标记</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4.1.1 </w:t>
      </w:r>
      <w:r>
        <w:rPr>
          <w:rFonts w:hint="eastAsia" w:ascii="仿宋" w:hAnsi="仿宋" w:eastAsia="仿宋" w:cs="仿宋"/>
          <w:color w:val="auto"/>
          <w:highlight w:val="none"/>
        </w:rPr>
        <w:t>本项目采用“远程不见面”开标方式,远程开标大厅的网址（www.hnggzyjy.cn），投标人无需到省交易中心现场参加开标会议，无需到现场递交投标文件，本项目对电子投标文件的密封和标记不做要求。</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4.2 投标文件的递交</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4.2.1投标人应在投标截止时间前上传加密的电子投标文件（*.hntf）到市场主体系统的指定位置。上传时必须得到电脑“上传成功”的确认。请投标人在上传时认真检查上传投标文件是否完整、正确。</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4.2.2投标人因交易中心投标系统问题无法上传电子投标文件时，请在工作时间与河南省公共资源交易中心联系，联系电话：0371-86095959。</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4.3 投标文件的修改与撤回</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4.3.1投标人在递交投标文件后，在投标截止时间之前可以修改或撤回其投标文件，但投标人必须在投标截止时间之前。在投标截止时间后，投标人不得再要求修改或撤回其投标文件。</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4.3.2从投标截止期至投标人在投标文件中载明的投标有效期满期间，投标人不得撤回其投标。</w:t>
      </w:r>
    </w:p>
    <w:p>
      <w:pPr>
        <w:snapToGrid w:val="0"/>
        <w:spacing w:line="360" w:lineRule="auto"/>
        <w:outlineLvl w:val="1"/>
        <w:rPr>
          <w:rFonts w:hint="eastAsia" w:ascii="仿宋_GB2312" w:hAnsi="仿宋_GB2312" w:eastAsia="仿宋_GB2312"/>
          <w:b/>
          <w:color w:val="auto"/>
          <w:highlight w:val="none"/>
        </w:rPr>
      </w:pPr>
      <w:bookmarkStart w:id="16" w:name="_Toc31324"/>
      <w:r>
        <w:rPr>
          <w:rFonts w:hint="eastAsia" w:ascii="仿宋_GB2312" w:hAnsi="仿宋_GB2312" w:eastAsia="仿宋_GB2312"/>
          <w:b/>
          <w:color w:val="auto"/>
          <w:highlight w:val="none"/>
        </w:rPr>
        <w:t>5  开标</w:t>
      </w:r>
      <w:bookmarkEnd w:id="16"/>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5.1 开标时间和地点</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招标人在本章前附表规定的投标截止时间（开标时间）和投标人须知前附表规定的地点公开开标。</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5.2 开标程序</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5.2.1集中采购机构/代理机构将在“投标人须知前附表”规定的时间和地点组织公开开标。本项目采用“ 远程不见面” 开标方式, 远程开标大厅的网址</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"http://www.hnggzyjy.cn/"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（www.hnggzyjy.cn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），投标人无需到省交易中心现场参加开标会议。</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5.2.2开标前，集中采购机构/代理机构将会同相关人员进行验标（检查网上招标系统正常与否），确认无误后开标。开标时，请各投标人在招标文件确定的投标截止时间前，登录远程开标大厅网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"http://www.hnggzyjy.cn/" \h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址（www.hnggzyjy.cn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），在线准时参加开标活动并在规定时间内进行投标文件解密、答疑澄清（如有）、二次报价（如有）等活动，在规定时间内投标文件未解密的投标人， 视为放弃投标，项目负责人在、监督员监督下解密所有投标文件。</w:t>
      </w:r>
    </w:p>
    <w:p>
      <w:pPr>
        <w:pStyle w:val="40"/>
        <w:tabs>
          <w:tab w:val="left" w:pos="1060"/>
        </w:tabs>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yellow"/>
        </w:rPr>
        <w:t>5.2.3</w:t>
      </w:r>
      <w:commentRangeStart w:id="0"/>
      <w:r>
        <w:rPr>
          <w:rFonts w:hint="eastAsia" w:ascii="仿宋" w:hAnsi="仿宋" w:eastAsia="仿宋" w:cs="仿宋"/>
          <w:color w:val="auto"/>
          <w:sz w:val="24"/>
          <w:highlight w:val="yellow"/>
        </w:rPr>
        <w:t>、解密投标文件前，在监标人现场监督下由招标人代表现场抽取K值，并将抽取结果在河南省公共资源交易中心系统中群发消息公布</w:t>
      </w:r>
      <w:commentRangeEnd w:id="0"/>
      <w:r>
        <w:commentReference w:id="0"/>
      </w:r>
      <w:r>
        <w:rPr>
          <w:rFonts w:hint="eastAsia" w:ascii="仿宋" w:hAnsi="仿宋" w:eastAsia="仿宋" w:cs="仿宋"/>
          <w:color w:val="auto"/>
          <w:sz w:val="24"/>
          <w:highlight w:val="none"/>
        </w:rPr>
        <w:t>。</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5.2.4如投标人在规定时间内投标文件未解密或在规定时间内一直解密失败导致解密不成功的，视为放弃投标。</w:t>
      </w:r>
      <w:bookmarkStart w:id="77" w:name="_GoBack"/>
      <w:bookmarkEnd w:id="77"/>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5.2.5投标人下载文件成功后，如未在招标文件规定的投标文件递交截止时间前成功上传或误传加密的投标文件，而导致的解密失败,视为放弃投标。</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5.2.6开标前，代理机构将会同相关人员进行验标，确认无误后开标。</w:t>
      </w:r>
    </w:p>
    <w:p>
      <w:pPr>
        <w:pStyle w:val="40"/>
        <w:tabs>
          <w:tab w:val="left" w:pos="1060"/>
        </w:tabs>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5.2.7开标时，代理机构将公布投标人名称、投标报价，以及代理机构认为合适的其它详细内容。</w:t>
      </w:r>
    </w:p>
    <w:p>
      <w:pPr>
        <w:snapToGrid w:val="0"/>
        <w:spacing w:line="360" w:lineRule="auto"/>
        <w:outlineLvl w:val="1"/>
        <w:rPr>
          <w:rFonts w:hint="eastAsia" w:ascii="仿宋_GB2312" w:hAnsi="仿宋_GB2312" w:eastAsia="仿宋_GB2312"/>
          <w:b/>
          <w:color w:val="auto"/>
          <w:highlight w:val="none"/>
        </w:rPr>
      </w:pPr>
      <w:bookmarkStart w:id="17" w:name="_Toc8968"/>
      <w:r>
        <w:rPr>
          <w:rFonts w:hint="eastAsia" w:ascii="仿宋_GB2312" w:hAnsi="仿宋_GB2312" w:eastAsia="仿宋_GB2312"/>
          <w:b/>
          <w:color w:val="auto"/>
          <w:highlight w:val="none"/>
        </w:rPr>
        <w:t>6  评标</w:t>
      </w:r>
      <w:bookmarkEnd w:id="17"/>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6.1 评标委员会</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6.1.2 评标委员会成员有下列情形之一的，应当回避：</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（1）招标人或投标人的主要负责人的近亲属；</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（2）项目主管部门或者行政监督部门的人员；</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（3）与投标人有经济利益关系；</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（4）曾因在招标、评标以及其他与招标投标有关活动中从事违法行为而受过行政处罚或刑事处罚的；</w:t>
      </w:r>
    </w:p>
    <w:p>
      <w:pPr>
        <w:snapToGrid w:val="0"/>
        <w:spacing w:line="360" w:lineRule="auto"/>
        <w:ind w:firstLine="420"/>
        <w:outlineLvl w:val="9"/>
        <w:rPr>
          <w:rFonts w:hint="eastAsia" w:ascii="仿宋_GB2312" w:hAnsi="仿宋_GB2312" w:eastAsia="仿宋_GB2312"/>
          <w:color w:val="auto"/>
          <w:highlight w:val="none"/>
        </w:rPr>
      </w:pPr>
      <w:r>
        <w:rPr>
          <w:rFonts w:hint="eastAsia" w:ascii="仿宋_GB2312" w:hAnsi="仿宋_GB2312" w:eastAsia="仿宋_GB2312"/>
          <w:color w:val="auto"/>
          <w:highlight w:val="none"/>
        </w:rPr>
        <w:t>（5）与投标人有其他利害关系。</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6.2 评标原则</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评标活动遵循公平、公正、科学和择优的原则。</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6.3 评标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评标委员会按照第三章“评标办法”规定的方法、评审因素、标准和程序对投标文件进行评审。第三章“评标办法”没有规定的方法、评审因素和标准，不作为评标依据。</w:t>
      </w:r>
    </w:p>
    <w:p>
      <w:pPr>
        <w:snapToGrid w:val="0"/>
        <w:spacing w:line="360" w:lineRule="auto"/>
        <w:outlineLvl w:val="1"/>
        <w:rPr>
          <w:rFonts w:hint="eastAsia" w:ascii="仿宋_GB2312" w:hAnsi="仿宋_GB2312" w:eastAsia="仿宋_GB2312"/>
          <w:b/>
          <w:color w:val="auto"/>
          <w:highlight w:val="none"/>
        </w:rPr>
      </w:pPr>
      <w:bookmarkStart w:id="18" w:name="_Toc31162"/>
      <w:r>
        <w:rPr>
          <w:rFonts w:hint="eastAsia" w:ascii="仿宋_GB2312" w:hAnsi="仿宋_GB2312" w:eastAsia="仿宋_GB2312"/>
          <w:b/>
          <w:color w:val="auto"/>
          <w:highlight w:val="none"/>
        </w:rPr>
        <w:t>7  合同授予</w:t>
      </w:r>
      <w:bookmarkEnd w:id="18"/>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7.1 定标方式</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除投标人须知前附表规定评标委员会直接确定中标人外，招标人依据评标委员会推荐的中标候选人确定中标人，评标委员会推荐中标候选人的个数见投标人须知前附表。</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7.2 中标候选人公示</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招标人在投标人须知前附表规定的媒介公示中标候选人。</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7.3 中标通知</w:t>
      </w:r>
    </w:p>
    <w:p>
      <w:pPr>
        <w:snapToGrid w:val="0"/>
        <w:spacing w:line="360" w:lineRule="auto"/>
        <w:ind w:firstLine="420"/>
        <w:rPr>
          <w:rFonts w:hint="eastAsia" w:ascii="仿宋_GB2312" w:hAnsi="仿宋_GB2312" w:eastAsia="仿宋"/>
          <w:color w:val="auto"/>
          <w:highlight w:val="none"/>
        </w:rPr>
      </w:pPr>
      <w:r>
        <w:rPr>
          <w:rFonts w:hint="eastAsia" w:ascii="仿宋" w:hAnsi="仿宋" w:eastAsia="仿宋" w:cs="仿宋"/>
          <w:color w:val="auto"/>
          <w:highlight w:val="none"/>
        </w:rPr>
        <w:t>在规定的投标有效期内，采购人向中标人发出中标通知书，同时将中标结果通知未中标的投标人</w:t>
      </w:r>
      <w:r>
        <w:rPr>
          <w:rFonts w:hint="eastAsia" w:ascii="仿宋_GB2312" w:hAnsi="仿宋_GB2312" w:eastAsia="仿宋_GB2312"/>
          <w:color w:val="auto"/>
          <w:highlight w:val="none"/>
        </w:rPr>
        <w:t>。</w:t>
      </w:r>
      <w:r>
        <w:rPr>
          <w:rFonts w:hint="eastAsia" w:ascii="仿宋" w:hAnsi="仿宋" w:eastAsia="仿宋" w:cs="仿宋"/>
          <w:color w:val="auto"/>
          <w:highlight w:val="none"/>
        </w:rPr>
        <w:t>中标通知书将作为进行合同谈判和签订合同的依据。</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7.4 履约担保</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7.4.1 中标人应在投标须知前附表规定的时间，按投标人须知前附表规定的金额、担保形式和招标文件第四章“合同条款及格式”规定的或者事先经过招标人书面认可的履约担保格式向招标人提交履约担保。</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7.4.2 中标人不能按本章第7.4.1款要求提交履约担保的，视为放弃中标。</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7.5 签订合同</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7.5.1 招标人和中标人应当自中标通知书发出之日起30天内，根据招标文件和中标人的投标文件订立书面合同。中标人无正当理由拒签合同的，招标人取消其中标资格。 </w:t>
      </w:r>
    </w:p>
    <w:p>
      <w:pPr>
        <w:snapToGrid w:val="0"/>
        <w:spacing w:line="360" w:lineRule="auto"/>
        <w:outlineLvl w:val="1"/>
        <w:rPr>
          <w:rFonts w:hint="eastAsia" w:ascii="仿宋_GB2312" w:hAnsi="仿宋_GB2312" w:eastAsia="仿宋_GB2312"/>
          <w:b/>
          <w:color w:val="auto"/>
          <w:highlight w:val="none"/>
        </w:rPr>
      </w:pPr>
      <w:bookmarkStart w:id="19" w:name="_Toc1333"/>
      <w:r>
        <w:rPr>
          <w:rFonts w:hint="eastAsia" w:ascii="仿宋_GB2312" w:hAnsi="仿宋_GB2312" w:eastAsia="仿宋_GB2312"/>
          <w:b/>
          <w:color w:val="auto"/>
          <w:highlight w:val="none"/>
        </w:rPr>
        <w:t>8  重新招标和不再招标</w:t>
      </w:r>
      <w:bookmarkEnd w:id="19"/>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8.1 重新招标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有下列情形之一的，招标人将重新招标：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（1）投标截止时间止，投标人少于3个的；</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（2）经评标委员会评审后否决所有投标的。</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8.2 不再招标</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重新招标后投标人仍少于3个或者所有投标被否决的，属于必须审批或核准的工程建设项目，经原审批或核准部门批准后不再进行招标。</w:t>
      </w:r>
    </w:p>
    <w:p>
      <w:pPr>
        <w:snapToGrid w:val="0"/>
        <w:spacing w:line="360" w:lineRule="auto"/>
        <w:outlineLvl w:val="1"/>
        <w:rPr>
          <w:rFonts w:hint="eastAsia" w:ascii="仿宋_GB2312" w:hAnsi="仿宋_GB2312" w:eastAsia="仿宋_GB2312"/>
          <w:b/>
          <w:color w:val="auto"/>
          <w:highlight w:val="none"/>
        </w:rPr>
      </w:pPr>
      <w:bookmarkStart w:id="20" w:name="_Toc28415"/>
      <w:r>
        <w:rPr>
          <w:rFonts w:hint="eastAsia" w:ascii="仿宋_GB2312" w:hAnsi="仿宋_GB2312" w:eastAsia="仿宋_GB2312"/>
          <w:b/>
          <w:color w:val="auto"/>
          <w:highlight w:val="none"/>
        </w:rPr>
        <w:t>9  纪律和监督</w:t>
      </w:r>
      <w:bookmarkEnd w:id="20"/>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9.1 对招标人的纪律要求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招标人不得泄漏招标投标活动中应当保密的情况和资料，不得与投标人串通损害国家利益、社会公共利益或者他人合法权益。</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9.2 对投标人的纪律要求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9.3 对评标委员会成员的纪律要求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9.4 对与评标活动有关的工作人员的纪律要求</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napToGrid w:val="0"/>
        <w:spacing w:line="360" w:lineRule="auto"/>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9.5 投诉</w:t>
      </w: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投标人和其他利害关系人认为本次招标活动违反法律、法规和规章规定的，有权向有关行政监督部门投诉。</w:t>
      </w:r>
    </w:p>
    <w:p>
      <w:pPr>
        <w:snapToGrid w:val="0"/>
        <w:spacing w:line="360" w:lineRule="auto"/>
        <w:outlineLvl w:val="1"/>
        <w:rPr>
          <w:rFonts w:hint="eastAsia" w:ascii="仿宋_GB2312" w:hAnsi="仿宋_GB2312" w:eastAsia="仿宋_GB2312"/>
          <w:b/>
          <w:color w:val="auto"/>
          <w:highlight w:val="none"/>
        </w:rPr>
      </w:pPr>
      <w:bookmarkStart w:id="21" w:name="_Toc7204"/>
      <w:r>
        <w:rPr>
          <w:rFonts w:hint="eastAsia" w:ascii="仿宋_GB2312" w:hAnsi="仿宋_GB2312" w:eastAsia="仿宋_GB2312"/>
          <w:b/>
          <w:color w:val="auto"/>
          <w:highlight w:val="none"/>
        </w:rPr>
        <w:t>10  需要补充的其他内容</w:t>
      </w:r>
      <w:bookmarkEnd w:id="21"/>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需要补充的其他内容：见投标人须知前附表。</w:t>
      </w:r>
    </w:p>
    <w:p>
      <w:pPr>
        <w:snapToGrid w:val="0"/>
        <w:spacing w:line="360" w:lineRule="auto"/>
        <w:jc w:val="center"/>
        <w:outlineLvl w:val="0"/>
        <w:rPr>
          <w:rFonts w:hint="eastAsia" w:ascii="仿宋_GB2312" w:hAnsi="仿宋_GB2312" w:eastAsia="仿宋_GB2312"/>
          <w:b/>
          <w:color w:val="auto"/>
          <w:sz w:val="32"/>
          <w:highlight w:val="none"/>
        </w:rPr>
      </w:pPr>
      <w:r>
        <w:rPr>
          <w:color w:val="auto"/>
          <w:highlight w:val="none"/>
        </w:rPr>
        <w:br w:type="page"/>
      </w:r>
      <w:bookmarkStart w:id="22" w:name="_Toc26527"/>
      <w:r>
        <w:rPr>
          <w:rFonts w:hint="eastAsia" w:ascii="仿宋_GB2312" w:hAnsi="仿宋_GB2312" w:eastAsia="仿宋_GB2312"/>
          <w:b/>
          <w:color w:val="auto"/>
          <w:sz w:val="32"/>
          <w:highlight w:val="none"/>
        </w:rPr>
        <w:t>第三章  评标办法（综合评估法）</w:t>
      </w:r>
      <w:bookmarkEnd w:id="22"/>
    </w:p>
    <w:p>
      <w:pPr>
        <w:snapToGrid w:val="0"/>
        <w:spacing w:line="360" w:lineRule="auto"/>
        <w:jc w:val="center"/>
        <w:outlineLvl w:val="1"/>
        <w:rPr>
          <w:rFonts w:hint="eastAsia" w:ascii="仿宋_GB2312" w:hAnsi="仿宋_GB2312" w:eastAsia="仿宋_GB2312"/>
          <w:b/>
          <w:color w:val="auto"/>
          <w:highlight w:val="none"/>
        </w:rPr>
      </w:pPr>
      <w:bookmarkStart w:id="23" w:name="_Toc5405"/>
      <w:r>
        <w:rPr>
          <w:rFonts w:hint="eastAsia" w:ascii="仿宋_GB2312" w:hAnsi="仿宋_GB2312" w:eastAsia="仿宋_GB2312"/>
          <w:b/>
          <w:color w:val="auto"/>
          <w:highlight w:val="none"/>
        </w:rPr>
        <w:t>评标办法前附表</w:t>
      </w:r>
      <w:bookmarkEnd w:id="23"/>
    </w:p>
    <w:tbl>
      <w:tblPr>
        <w:tblStyle w:val="23"/>
        <w:tblW w:w="9619" w:type="dxa"/>
        <w:jc w:val="center"/>
        <w:tblLayout w:type="fixed"/>
        <w:tblCellMar>
          <w:top w:w="0" w:type="dxa"/>
          <w:left w:w="0" w:type="dxa"/>
          <w:bottom w:w="0" w:type="dxa"/>
          <w:right w:w="0" w:type="dxa"/>
        </w:tblCellMar>
      </w:tblPr>
      <w:tblGrid>
        <w:gridCol w:w="765"/>
        <w:gridCol w:w="255"/>
        <w:gridCol w:w="22"/>
        <w:gridCol w:w="701"/>
        <w:gridCol w:w="454"/>
        <w:gridCol w:w="623"/>
        <w:gridCol w:w="730"/>
        <w:gridCol w:w="620"/>
        <w:gridCol w:w="1374"/>
        <w:gridCol w:w="2280"/>
        <w:gridCol w:w="1795"/>
      </w:tblGrid>
      <w:tr>
        <w:tblPrEx>
          <w:tblCellMar>
            <w:top w:w="0" w:type="dxa"/>
            <w:left w:w="0" w:type="dxa"/>
            <w:bottom w:w="0" w:type="dxa"/>
            <w:right w:w="0" w:type="dxa"/>
          </w:tblCellMar>
        </w:tblPrEx>
        <w:trPr>
          <w:trHeight w:val="515" w:hRule="atLeast"/>
          <w:jc w:val="center"/>
        </w:trPr>
        <w:tc>
          <w:tcPr>
            <w:tcW w:w="2197"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条款号</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评审因素</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评审标准</w:t>
            </w:r>
          </w:p>
        </w:tc>
      </w:tr>
      <w:tr>
        <w:tblPrEx>
          <w:tblCellMar>
            <w:top w:w="0" w:type="dxa"/>
            <w:left w:w="0" w:type="dxa"/>
            <w:bottom w:w="0" w:type="dxa"/>
            <w:right w:w="0" w:type="dxa"/>
          </w:tblCellMar>
        </w:tblPrEx>
        <w:trPr>
          <w:trHeight w:val="51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2.1.1</w:t>
            </w:r>
          </w:p>
        </w:tc>
        <w:tc>
          <w:tcPr>
            <w:tcW w:w="1432" w:type="dxa"/>
            <w:gridSpan w:val="4"/>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形式评审</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标准</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投标人名称</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与营业执照、资质证书证</w:t>
            </w:r>
            <w:r>
              <w:rPr>
                <w:rFonts w:hint="eastAsia" w:ascii="仿宋_GB2312" w:hAnsi="仿宋_GB2312" w:eastAsia="仿宋_GB2312"/>
                <w:color w:val="auto"/>
                <w:highlight w:val="none"/>
                <w:lang w:eastAsia="zh-CN"/>
              </w:rPr>
              <w:t>、安全生产许可证</w:t>
            </w:r>
            <w:r>
              <w:rPr>
                <w:rFonts w:hint="eastAsia" w:ascii="仿宋_GB2312" w:hAnsi="仿宋_GB2312" w:eastAsia="仿宋_GB2312"/>
                <w:color w:val="auto"/>
                <w:highlight w:val="none"/>
              </w:rPr>
              <w:t>等信息一致</w:t>
            </w:r>
          </w:p>
        </w:tc>
      </w:tr>
      <w:tr>
        <w:tblPrEx>
          <w:tblCellMar>
            <w:top w:w="0" w:type="dxa"/>
            <w:left w:w="0" w:type="dxa"/>
            <w:bottom w:w="0" w:type="dxa"/>
            <w:right w:w="0" w:type="dxa"/>
          </w:tblCellMar>
        </w:tblPrEx>
        <w:trPr>
          <w:trHeight w:val="5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投标函签字盖章</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投标人的法定代表人或其委托代理人签字（或盖个人印章）或盖公章。委托代理人签字（或盖个人印章）的，投标文件应附法定代表人签署的授权委托书。</w:t>
            </w:r>
          </w:p>
        </w:tc>
      </w:tr>
      <w:tr>
        <w:tblPrEx>
          <w:tblCellMar>
            <w:top w:w="0" w:type="dxa"/>
            <w:left w:w="0" w:type="dxa"/>
            <w:bottom w:w="0" w:type="dxa"/>
            <w:right w:w="0" w:type="dxa"/>
          </w:tblCellMar>
        </w:tblPrEx>
        <w:trPr>
          <w:trHeight w:val="5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投标文件格式</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符合第八章“投标文件格式”的要求</w:t>
            </w:r>
          </w:p>
        </w:tc>
      </w:tr>
      <w:tr>
        <w:tblPrEx>
          <w:tblCellMar>
            <w:top w:w="0" w:type="dxa"/>
            <w:left w:w="0" w:type="dxa"/>
            <w:bottom w:w="0" w:type="dxa"/>
            <w:right w:w="0" w:type="dxa"/>
          </w:tblCellMar>
        </w:tblPrEx>
        <w:trPr>
          <w:trHeight w:val="5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联合体投标人</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不接受</w:t>
            </w:r>
          </w:p>
        </w:tc>
      </w:tr>
      <w:tr>
        <w:tblPrEx>
          <w:tblCellMar>
            <w:top w:w="0" w:type="dxa"/>
            <w:left w:w="0" w:type="dxa"/>
            <w:bottom w:w="0" w:type="dxa"/>
            <w:right w:w="0" w:type="dxa"/>
          </w:tblCellMar>
        </w:tblPrEx>
        <w:trPr>
          <w:trHeight w:val="5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报价唯一</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只能有一个有效报价</w:t>
            </w:r>
          </w:p>
        </w:tc>
      </w:tr>
      <w:tr>
        <w:tblPrEx>
          <w:tblCellMar>
            <w:top w:w="0" w:type="dxa"/>
            <w:left w:w="0" w:type="dxa"/>
            <w:bottom w:w="0" w:type="dxa"/>
            <w:right w:w="0" w:type="dxa"/>
          </w:tblCellMar>
        </w:tblPrEx>
        <w:trPr>
          <w:trHeight w:val="515"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投标文件的数量</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0"/>
              <w:rPr>
                <w:rFonts w:hint="eastAsia" w:ascii="仿宋_GB2312" w:hAnsi="仿宋_GB2312" w:eastAsia="仿宋_GB2312"/>
                <w:color w:val="auto"/>
                <w:highlight w:val="none"/>
              </w:rPr>
            </w:pPr>
            <w:r>
              <w:rPr>
                <w:rFonts w:hint="eastAsia" w:ascii="仿宋_GB2312" w:hAnsi="仿宋_GB2312" w:eastAsia="仿宋_GB2312"/>
                <w:color w:val="auto"/>
                <w:highlight w:val="none"/>
              </w:rPr>
              <w:t>上传加密电子版投标文件一份</w:t>
            </w:r>
          </w:p>
        </w:tc>
      </w:tr>
      <w:tr>
        <w:tblPrEx>
          <w:tblCellMar>
            <w:top w:w="0" w:type="dxa"/>
            <w:left w:w="0" w:type="dxa"/>
            <w:bottom w:w="0" w:type="dxa"/>
            <w:right w:w="0" w:type="dxa"/>
          </w:tblCellMar>
        </w:tblPrEx>
        <w:trPr>
          <w:trHeight w:val="515" w:hRule="atLeast"/>
          <w:jc w:val="center"/>
        </w:trPr>
        <w:tc>
          <w:tcPr>
            <w:tcW w:w="765" w:type="dxa"/>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2.1.2</w:t>
            </w:r>
          </w:p>
          <w:p>
            <w:pPr>
              <w:snapToGrid w:val="0"/>
              <w:spacing w:line="360" w:lineRule="auto"/>
              <w:ind w:left="120"/>
              <w:rPr>
                <w:rFonts w:ascii="宋体"/>
                <w:color w:val="auto"/>
                <w:sz w:val="20"/>
                <w:highlight w:val="none"/>
              </w:rPr>
            </w:pPr>
          </w:p>
          <w:p>
            <w:pPr>
              <w:snapToGrid w:val="0"/>
              <w:spacing w:line="360" w:lineRule="auto"/>
              <w:ind w:left="120"/>
              <w:rPr>
                <w:rFonts w:ascii="宋体"/>
                <w:color w:val="auto"/>
                <w:sz w:val="20"/>
                <w:highlight w:val="none"/>
              </w:rPr>
            </w:pPr>
          </w:p>
        </w:tc>
        <w:tc>
          <w:tcPr>
            <w:tcW w:w="1432" w:type="dxa"/>
            <w:gridSpan w:val="4"/>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资格评审</w:t>
            </w:r>
          </w:p>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标准</w:t>
            </w:r>
          </w:p>
          <w:p>
            <w:pPr>
              <w:snapToGrid w:val="0"/>
              <w:spacing w:line="360" w:lineRule="auto"/>
              <w:ind w:left="120"/>
              <w:jc w:val="center"/>
              <w:rPr>
                <w:rFonts w:ascii="宋体"/>
                <w:color w:val="auto"/>
                <w:sz w:val="20"/>
                <w:highlight w:val="none"/>
              </w:rPr>
            </w:pPr>
          </w:p>
          <w:p>
            <w:pPr>
              <w:snapToGrid w:val="0"/>
              <w:spacing w:line="360" w:lineRule="auto"/>
              <w:ind w:left="120"/>
              <w:jc w:val="center"/>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营业执照</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具备有效的营业执照</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both"/>
              <w:rPr>
                <w:rFonts w:hint="eastAsia" w:ascii="仿宋_GB2312" w:hAnsi="仿宋_GB2312" w:eastAsia="仿宋_GB2312"/>
                <w:color w:val="auto"/>
                <w:highlight w:val="none"/>
              </w:rPr>
            </w:pPr>
            <w:r>
              <w:rPr>
                <w:rFonts w:hint="eastAsia" w:ascii="仿宋_GB2312" w:hAnsi="仿宋_GB2312" w:eastAsia="仿宋_GB2312"/>
                <w:color w:val="auto"/>
                <w:highlight w:val="none"/>
              </w:rPr>
              <w:t>安全生产许可证</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具备有效的安全生产许可证</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资质等级</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lang w:val="en-US" w:eastAsia="zh-CN"/>
              </w:rPr>
            </w:pPr>
            <w:r>
              <w:rPr>
                <w:rFonts w:hint="eastAsia" w:ascii="仿宋_GB2312" w:hAnsi="仿宋_GB2312" w:eastAsia="仿宋_GB2312" w:cs="仿宋_GB2312"/>
                <w:color w:val="auto"/>
                <w:highlight w:val="none"/>
                <w:lang w:val="zh-TW" w:eastAsia="zh-TW"/>
              </w:rPr>
              <w:t>具有国家建设行政主管部门核发的</w:t>
            </w:r>
            <w:r>
              <w:rPr>
                <w:rFonts w:hint="eastAsia" w:ascii="仿宋_GB2312" w:hAnsi="仿宋_GB2312" w:eastAsia="仿宋_GB2312" w:cs="仿宋_GB2312"/>
                <w:color w:val="auto"/>
                <w:highlight w:val="none"/>
                <w:lang w:val="zh-TW" w:eastAsia="zh-CN"/>
              </w:rPr>
              <w:t>电力工程施工总承包叁级及以上资质或输变电工程专业承包三级及以上资质，</w:t>
            </w:r>
            <w:r>
              <w:rPr>
                <w:rFonts w:hint="eastAsia" w:ascii="仿宋_GB2312" w:hAnsi="仿宋_GB2312" w:eastAsia="仿宋_GB2312"/>
                <w:color w:val="auto"/>
                <w:highlight w:val="none"/>
                <w:lang w:eastAsia="zh-CN"/>
              </w:rPr>
              <w:t>并同时具备国家能源局颁发（或原国家电力监管委员会）的电力设施施工《承装（修、试）电力设施许可证》承装叁级、承修叁级、承试叁级及以上资质。</w:t>
            </w:r>
          </w:p>
        </w:tc>
      </w:tr>
      <w:tr>
        <w:tblPrEx>
          <w:tblCellMar>
            <w:top w:w="0" w:type="dxa"/>
            <w:left w:w="0" w:type="dxa"/>
            <w:bottom w:w="0" w:type="dxa"/>
            <w:right w:w="0" w:type="dxa"/>
          </w:tblCellMar>
        </w:tblPrEx>
        <w:trPr>
          <w:trHeight w:val="1123"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项目经理要求</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pStyle w:val="20"/>
              <w:widowControl/>
              <w:spacing w:line="46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shd w:val="clear" w:color="000000" w:fill="auto"/>
                <w:lang w:eastAsia="zh-CN"/>
              </w:rPr>
              <w:t>投标人拟派项目经理须为本单位注册的机电工程专业二级及以上注册建造师（不含临时建造师）</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同时具备有效的安全生产考核合格证书</w:t>
            </w:r>
            <w:r>
              <w:rPr>
                <w:rFonts w:hint="eastAsia" w:ascii="仿宋_GB2312" w:hAnsi="仿宋_GB2312" w:eastAsia="仿宋_GB2312"/>
                <w:color w:val="auto"/>
                <w:highlight w:val="none"/>
                <w:shd w:val="clear" w:color="000000" w:fill="auto"/>
              </w:rPr>
              <w:t>，</w:t>
            </w:r>
            <w:r>
              <w:rPr>
                <w:rFonts w:hint="eastAsia" w:ascii="仿宋_GB2312" w:hAnsi="仿宋_GB2312" w:eastAsia="仿宋_GB2312"/>
                <w:color w:val="auto"/>
                <w:highlight w:val="none"/>
                <w:shd w:val="clear" w:color="000000" w:fill="auto"/>
                <w:lang w:eastAsia="zh-CN"/>
              </w:rPr>
              <w:t>且拟派项目经理自本项目合同签订之日起至本项目施工完工期间不得同时担任其他在建工程项目经理</w:t>
            </w:r>
            <w:r>
              <w:rPr>
                <w:rFonts w:hint="eastAsia" w:ascii="仿宋_GB2312" w:hAnsi="仿宋_GB2312" w:eastAsia="仿宋_GB2312"/>
                <w:color w:val="auto"/>
                <w:highlight w:val="none"/>
                <w:shd w:val="clear" w:color="000000" w:fill="auto"/>
              </w:rPr>
              <w:t>。</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财务要求</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shd w:val="clear" w:color="000000" w:fill="auto"/>
                <w:lang w:eastAsia="zh-CN"/>
              </w:rPr>
              <w:t>投标人财务状况良好，提供2019年度审计报告，公司成立时间不足一年的，附自行出具的财务报表说明或2020年1月1日以来基本户银行出具的资信证明</w:t>
            </w:r>
            <w:r>
              <w:rPr>
                <w:rFonts w:hint="eastAsia" w:ascii="仿宋_GB2312" w:hAnsi="仿宋_GB2312" w:eastAsia="仿宋_GB2312"/>
                <w:color w:val="auto"/>
                <w:highlight w:val="none"/>
                <w:shd w:val="clear" w:color="000000" w:fill="auto"/>
              </w:rPr>
              <w:t>。</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0" w:leftChars="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信誉要求</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shd w:val="clear" w:color="000000" w:fill="auto"/>
              </w:rPr>
            </w:pPr>
            <w:r>
              <w:rPr>
                <w:rFonts w:hint="eastAsia" w:ascii="仿宋_GB2312" w:hAnsi="仿宋_GB2312" w:eastAsia="仿宋_GB2312"/>
                <w:color w:val="auto"/>
                <w:highlight w:val="none"/>
              </w:rPr>
              <w:t>具有良好的商业信誉，没有处于被责令停业，投标资格被取消，财产被接管、冻结，破产状态；参加政府采购活动前三年内，在经营活动中没有重大违法记录，无骗取中标或严重违约或重大工程质量问题。</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color w:val="auto"/>
                <w:highlight w:val="none"/>
              </w:rPr>
            </w:pPr>
          </w:p>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委托代理人（如有）、项目经理其他要求</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jc w:val="center"/>
              <w:rPr>
                <w:rFonts w:hint="eastAsia" w:ascii="仿宋_GB2312" w:hAnsi="仿宋_GB2312" w:eastAsia="仿宋_GB2312"/>
                <w:color w:val="auto"/>
                <w:highlight w:val="none"/>
                <w:shd w:val="clear" w:color="000000" w:fill="auto"/>
              </w:rPr>
            </w:pPr>
            <w:r>
              <w:rPr>
                <w:rFonts w:hint="eastAsia" w:ascii="仿宋_GB2312" w:hAnsi="仿宋_GB2312" w:eastAsia="仿宋_GB2312"/>
                <w:color w:val="auto"/>
                <w:highlight w:val="none"/>
              </w:rPr>
              <w:t>委托代理人（如有）、项目经理应是本单位在职员工，在投标企业办理有劳动合同关系（提供劳动合同）、缴纳社会保</w:t>
            </w:r>
            <w:r>
              <w:rPr>
                <w:rFonts w:hint="eastAsia" w:ascii="仿宋_GB2312" w:hAnsi="仿宋_GB2312" w:eastAsia="仿宋_GB2312"/>
                <w:color w:val="auto"/>
                <w:highlight w:val="none"/>
                <w:shd w:val="clear" w:color="000000" w:fill="auto"/>
              </w:rPr>
              <w:t>险（提供</w:t>
            </w:r>
            <w:r>
              <w:rPr>
                <w:rFonts w:hint="eastAsia" w:ascii="仿宋_GB2312" w:hAnsi="仿宋_GB2312" w:eastAsia="仿宋_GB2312"/>
                <w:color w:val="auto"/>
                <w:highlight w:val="none"/>
                <w:shd w:val="clear" w:color="000000" w:fill="auto"/>
                <w:lang w:eastAsia="zh-CN"/>
              </w:rPr>
              <w:t>个人社保缴纳证明</w:t>
            </w:r>
            <w:r>
              <w:rPr>
                <w:rFonts w:hint="eastAsia" w:ascii="仿宋_GB2312" w:hAnsi="仿宋_GB2312" w:eastAsia="仿宋_GB2312"/>
                <w:color w:val="auto"/>
                <w:highlight w:val="none"/>
                <w:shd w:val="clear" w:color="000000" w:fill="auto"/>
              </w:rPr>
              <w:t>）。</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其他要求</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jc w:val="left"/>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根据《关于在政府采购活动中查询及使用信用记录有关问题的通知》(财库[2016]125号) 和豫财购【2016】15号的规定，对列入失信被执行人和重大税收违法案件当事人名单（查询网址“信用中国”网（www.creditchina.gov.cn））、政府采购严重违法失信行为记录名单处罚期限尚未届满的（查询网址“中国政府采购”网（www.ccgp.gov.cn）的投标人，拒绝其参与本招标项目</w:t>
            </w:r>
            <w:r>
              <w:rPr>
                <w:rFonts w:hint="eastAsia" w:ascii="仿宋_GB2312" w:hAnsi="仿宋_GB2312" w:eastAsia="仿宋_GB2312"/>
                <w:color w:val="auto"/>
                <w:highlight w:val="none"/>
              </w:rPr>
              <w:t>。（</w:t>
            </w:r>
            <w:r>
              <w:rPr>
                <w:rFonts w:hint="eastAsia" w:ascii="仿宋" w:hAnsi="仿宋" w:eastAsia="仿宋" w:cs="仿宋"/>
                <w:color w:val="auto"/>
                <w:highlight w:val="none"/>
              </w:rPr>
              <w:t>投标供应商自行查询的证明材料将不作为资格审查评审依据，以开标现场招标代理机构经办人查询网页截图作为查询记录和证据</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jc w:val="left"/>
              <w:rPr>
                <w:rFonts w:hint="eastAsia" w:ascii="仿宋_GB2312" w:hAnsi="仿宋_GB2312" w:eastAsia="仿宋_GB2312"/>
                <w:color w:val="auto"/>
                <w:highlight w:val="none"/>
                <w:lang w:eastAsia="zh-CN"/>
              </w:rPr>
            </w:pPr>
            <w:r>
              <w:rPr>
                <w:rFonts w:hint="eastAsia" w:ascii="仿宋" w:hAnsi="仿宋" w:eastAsia="仿宋" w:cs="仿宋"/>
                <w:color w:val="auto"/>
                <w:highlight w:val="none"/>
              </w:rPr>
              <w:t>单位负责人为同一人或者存在控股、管理关系的不同单位，不得同时参加本项目同一标段的投标或未划分多个标段的同一项目的投标；为本项</w:t>
            </w:r>
            <w:r>
              <w:rPr>
                <w:rFonts w:hint="eastAsia" w:ascii="仿宋_GB2312" w:hAnsi="仿宋_GB2312" w:eastAsia="仿宋_GB2312"/>
                <w:bCs/>
                <w:color w:val="auto"/>
                <w:highlight w:val="none"/>
              </w:rPr>
              <w:t>目前期准备提供设计或咨询服务的不得参加本招标项目投标。</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满足政府采购法二十二条还须提交的证明资料</w:t>
            </w: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shd w:val="clear" w:color="000000" w:fill="auto"/>
              </w:rPr>
            </w:pPr>
            <w:r>
              <w:rPr>
                <w:rFonts w:hint="eastAsia" w:ascii="仿宋_GB2312" w:hAnsi="仿宋_GB2312" w:eastAsia="仿宋_GB2312"/>
                <w:color w:val="auto"/>
                <w:highlight w:val="none"/>
              </w:rPr>
              <w:t>依法缴纳税收和社会保障资金证明</w:t>
            </w:r>
          </w:p>
        </w:tc>
        <w:tc>
          <w:tcPr>
            <w:tcW w:w="407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投标文件中提供2020年1月1日以来至少一个月的依法纳税证明（至少提供增值税部分）和缴纳社保证明（至少提供基本养老保险部分）扫描件，</w:t>
            </w:r>
            <w:r>
              <w:rPr>
                <w:rFonts w:hint="eastAsia" w:ascii="仿宋_GB2312" w:hAnsi="仿宋_GB2312" w:eastAsia="仿宋_GB2312"/>
                <w:color w:val="auto"/>
                <w:highlight w:val="none"/>
                <w:lang w:eastAsia="zh-CN"/>
              </w:rPr>
              <w:t>依法免税或不需要缴纳社会保障资金的投标人，应提供相应文件证明其依法免税或不需要缴纳社会保障金</w:t>
            </w:r>
            <w:r>
              <w:rPr>
                <w:rFonts w:hint="eastAsia" w:ascii="仿宋_GB2312" w:hAnsi="仿宋_GB2312" w:eastAsia="仿宋_GB2312"/>
                <w:color w:val="auto"/>
                <w:highlight w:val="none"/>
              </w:rPr>
              <w:t>。</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仿宋_GB2312" w:hAnsi="仿宋_GB2312" w:eastAsia="仿宋_GB2312"/>
                <w:color w:val="auto"/>
                <w:highlight w:val="none"/>
              </w:rPr>
            </w:pPr>
          </w:p>
        </w:tc>
        <w:tc>
          <w:tcPr>
            <w:tcW w:w="1374"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bCs/>
                <w:color w:val="auto"/>
                <w:sz w:val="24"/>
                <w:szCs w:val="24"/>
                <w:highlight w:val="none"/>
                <w:lang w:val="en-US" w:eastAsia="zh-CN" w:bidi="ar-SA"/>
              </w:rPr>
            </w:pPr>
            <w:r>
              <w:rPr>
                <w:rFonts w:hint="eastAsia" w:ascii="仿宋_GB2312" w:hAnsi="仿宋_GB2312" w:eastAsia="仿宋_GB2312"/>
                <w:color w:val="auto"/>
                <w:highlight w:val="none"/>
              </w:rPr>
              <w:t>履行合同所必需的设备和专业技术能力</w:t>
            </w:r>
          </w:p>
        </w:tc>
        <w:tc>
          <w:tcPr>
            <w:tcW w:w="4075" w:type="dxa"/>
            <w:gridSpan w:val="2"/>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bCs/>
                <w:color w:val="auto"/>
                <w:sz w:val="24"/>
                <w:szCs w:val="24"/>
                <w:highlight w:val="none"/>
                <w:lang w:val="en-US" w:eastAsia="zh-CN" w:bidi="ar-SA"/>
              </w:rPr>
            </w:pPr>
            <w:r>
              <w:rPr>
                <w:rFonts w:hint="eastAsia" w:ascii="仿宋_GB2312" w:hAnsi="仿宋_GB2312" w:eastAsia="仿宋_GB2312"/>
                <w:color w:val="auto"/>
                <w:highlight w:val="none"/>
              </w:rPr>
              <w:t>根据格式部分“五、施工组织设计”《附表一 拟投入本标段的主要施工设备表》、《附表二 拟配备本标段的试验和检测仪器设备表》、“六、项目管理机构”的内容填写。</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pStyle w:val="22"/>
              <w:rPr>
                <w:color w:val="auto"/>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973" w:type="dxa"/>
            <w:gridSpan w:val="3"/>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0" w:leftChars="0"/>
              <w:jc w:val="left"/>
              <w:rPr>
                <w:rFonts w:hint="eastAsia" w:ascii="仿宋_GB2312" w:hAnsi="仿宋_GB2312" w:eastAsia="仿宋_GB2312" w:cs="Times New Roman"/>
                <w:color w:val="auto"/>
                <w:sz w:val="24"/>
                <w:szCs w:val="24"/>
                <w:highlight w:val="none"/>
                <w:u w:val="none"/>
                <w:lang w:val="en-US" w:eastAsia="zh-CN" w:bidi="ar-SA"/>
              </w:rPr>
            </w:pPr>
            <w:r>
              <w:rPr>
                <w:rFonts w:hint="eastAsia" w:ascii="仿宋_GB2312" w:hAnsi="仿宋_GB2312" w:eastAsia="仿宋_GB2312"/>
                <w:color w:val="auto"/>
                <w:highlight w:val="none"/>
                <w:u w:val="none"/>
              </w:rPr>
              <w:t>标书雷同性分析</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u w:val="none"/>
                <w:lang w:val="en-US" w:eastAsia="zh-CN"/>
              </w:rPr>
            </w:pPr>
            <w:r>
              <w:rPr>
                <w:rFonts w:hint="eastAsia" w:ascii="仿宋_GB2312" w:hAnsi="仿宋_GB2312" w:eastAsia="仿宋_GB2312"/>
                <w:color w:val="auto"/>
                <w:highlight w:val="none"/>
                <w:u w:val="none"/>
                <w:lang w:val="en-US" w:eastAsia="zh-CN"/>
              </w:rPr>
              <w:t>多家投标人投标文件制作机器码不能一致，机器码</w:t>
            </w:r>
          </w:p>
          <w:p>
            <w:pPr>
              <w:snapToGrid w:val="0"/>
              <w:spacing w:line="360" w:lineRule="auto"/>
              <w:rPr>
                <w:rFonts w:hint="eastAsia" w:ascii="仿宋_GB2312" w:hAnsi="仿宋_GB2312" w:eastAsia="仿宋_GB2312" w:cs="Times New Roman"/>
                <w:color w:val="auto"/>
                <w:sz w:val="24"/>
                <w:szCs w:val="24"/>
                <w:highlight w:val="none"/>
                <w:u w:val="none"/>
                <w:lang w:val="en-US" w:eastAsia="zh-CN" w:bidi="ar-SA"/>
              </w:rPr>
            </w:pPr>
            <w:r>
              <w:rPr>
                <w:rFonts w:hint="eastAsia" w:ascii="仿宋_GB2312" w:hAnsi="仿宋_GB2312" w:eastAsia="仿宋_GB2312"/>
                <w:color w:val="auto"/>
                <w:highlight w:val="none"/>
                <w:u w:val="none"/>
                <w:lang w:val="en-US" w:eastAsia="zh-CN"/>
              </w:rPr>
              <w:t>一致的所有投标文件均做无效文件处理。</w:t>
            </w:r>
          </w:p>
        </w:tc>
      </w:tr>
      <w:tr>
        <w:tblPrEx>
          <w:tblCellMar>
            <w:top w:w="0" w:type="dxa"/>
            <w:left w:w="0" w:type="dxa"/>
            <w:bottom w:w="0" w:type="dxa"/>
            <w:right w:w="0" w:type="dxa"/>
          </w:tblCellMar>
        </w:tblPrEx>
        <w:trPr>
          <w:trHeight w:val="515" w:hRule="atLeast"/>
          <w:jc w:val="center"/>
        </w:trPr>
        <w:tc>
          <w:tcPr>
            <w:tcW w:w="765" w:type="dxa"/>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1432" w:type="dxa"/>
            <w:gridSpan w:val="4"/>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ascii="宋体"/>
                <w:color w:val="auto"/>
                <w:sz w:val="20"/>
                <w:highlight w:val="none"/>
              </w:rPr>
            </w:pPr>
          </w:p>
        </w:tc>
        <w:tc>
          <w:tcPr>
            <w:tcW w:w="7422"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rPr>
                <w:rFonts w:hint="eastAsia" w:ascii="仿宋_GB2312" w:hAnsi="仿宋_GB2312" w:eastAsia="仿宋_GB2312"/>
                <w:color w:val="auto"/>
                <w:highlight w:val="none"/>
                <w:u w:val="none"/>
                <w:lang w:eastAsia="zh-CN"/>
              </w:rPr>
            </w:pPr>
            <w:r>
              <w:rPr>
                <w:rFonts w:hint="eastAsia" w:ascii="仿宋_GB2312" w:hAnsi="仿宋_GB2312" w:eastAsia="仿宋_GB2312"/>
                <w:color w:val="auto"/>
                <w:highlight w:val="none"/>
                <w:u w:val="none"/>
                <w:lang w:eastAsia="zh-CN"/>
              </w:rPr>
              <w:t>资格审查标准要求提供的证明材料和要求参见第八章格式部分第七“资格审查资料”。</w:t>
            </w:r>
          </w:p>
        </w:tc>
      </w:tr>
      <w:tr>
        <w:tblPrEx>
          <w:tblCellMar>
            <w:top w:w="0" w:type="dxa"/>
            <w:left w:w="0" w:type="dxa"/>
            <w:bottom w:w="0" w:type="dxa"/>
            <w:right w:w="0" w:type="dxa"/>
          </w:tblCellMar>
        </w:tblPrEx>
        <w:trPr>
          <w:trHeight w:val="578"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2.1.3</w:t>
            </w:r>
          </w:p>
        </w:tc>
        <w:tc>
          <w:tcPr>
            <w:tcW w:w="1432" w:type="dxa"/>
            <w:gridSpan w:val="4"/>
            <w:vMerge w:val="restart"/>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响应性评审标准</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投标范围</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s="仿宋_GB2312"/>
                <w:color w:val="auto"/>
                <w:sz w:val="24"/>
                <w:highlight w:val="none"/>
                <w:lang w:eastAsia="zh-CN"/>
              </w:rPr>
              <w:t>电力增容、校内外高压线路和设备的采购安装调试、校内低压线路和设备的采购安装调试、花园校区配套用电手续的办理等，具体工程量详见</w:t>
            </w:r>
            <w:r>
              <w:rPr>
                <w:rFonts w:hint="eastAsia" w:ascii="仿宋_GB2312" w:hAnsi="仿宋_GB2312" w:eastAsia="仿宋_GB2312"/>
                <w:color w:val="auto"/>
                <w:highlight w:val="none"/>
                <w:lang w:eastAsia="zh-CN"/>
              </w:rPr>
              <w:t>华北水利水电大学（花园校区）增容供配电工程项目</w:t>
            </w:r>
            <w:r>
              <w:rPr>
                <w:rFonts w:hint="eastAsia" w:ascii="仿宋_GB2312" w:hAnsi="仿宋_GB2312" w:eastAsia="仿宋_GB2312"/>
                <w:color w:val="auto"/>
                <w:highlight w:val="none"/>
              </w:rPr>
              <w:t>施工图纸及工程量清单内全部内容</w:t>
            </w:r>
            <w:r>
              <w:rPr>
                <w:rFonts w:hint="eastAsia" w:ascii="仿宋_GB2312" w:hAnsi="仿宋_GB2312" w:eastAsia="仿宋_GB2312"/>
                <w:color w:val="auto"/>
                <w:highlight w:val="none"/>
                <w:lang w:eastAsia="zh-CN"/>
              </w:rPr>
              <w:t>。</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工期</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45</w:t>
            </w:r>
            <w:r>
              <w:rPr>
                <w:rFonts w:hint="eastAsia" w:ascii="仿宋_GB2312" w:hAnsi="仿宋_GB2312" w:eastAsia="仿宋_GB2312"/>
                <w:color w:val="auto"/>
                <w:highlight w:val="none"/>
              </w:rPr>
              <w:t>日历天</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工程质量</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合格</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工程</w:t>
            </w:r>
            <w:r>
              <w:rPr>
                <w:rFonts w:hint="eastAsia" w:ascii="仿宋_GB2312" w:hAnsi="仿宋_GB2312" w:eastAsia="仿宋_GB2312"/>
                <w:color w:val="auto"/>
                <w:highlight w:val="none"/>
                <w:lang w:eastAsia="zh-CN"/>
              </w:rPr>
              <w:t>保修期</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2年</w:t>
            </w:r>
            <w:r>
              <w:rPr>
                <w:rFonts w:hint="eastAsia" w:ascii="仿宋_GB2312" w:hAns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工程</w:t>
            </w:r>
            <w:r>
              <w:rPr>
                <w:rFonts w:hint="eastAsia" w:ascii="仿宋_GB2312" w:hAnsi="仿宋_GB2312" w:eastAsia="仿宋_GB2312"/>
                <w:color w:val="auto"/>
                <w:highlight w:val="none"/>
                <w:lang w:eastAsia="zh-CN"/>
              </w:rPr>
              <w:t>缺陷责任期</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2年</w:t>
            </w:r>
            <w:r>
              <w:rPr>
                <w:rFonts w:hint="eastAsia" w:ascii="仿宋_GB2312" w:hAns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主要设备质保期</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5年，电缆按国家规定执行，</w:t>
            </w:r>
            <w:r>
              <w:rPr>
                <w:rFonts w:hint="eastAsia" w:ascii="仿宋_GB2312" w:hAnsi="仿宋_GB2312" w:eastAsia="仿宋_GB2312"/>
                <w:color w:val="auto"/>
                <w:highlight w:val="none"/>
                <w:lang w:eastAsia="zh-CN"/>
              </w:rPr>
              <w:t>自工程竣工验收合格之日起计算</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投标有效期</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投标截止时间起90日历天</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投标</w:t>
            </w:r>
            <w:r>
              <w:rPr>
                <w:rFonts w:hint="eastAsia" w:ascii="仿宋_GB2312" w:hAnsi="仿宋_GB2312" w:eastAsia="仿宋_GB2312"/>
                <w:color w:val="auto"/>
                <w:highlight w:val="none"/>
                <w:lang w:eastAsia="zh-CN"/>
              </w:rPr>
              <w:t>保证金</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以转账形式提交投标保证金的提供转账凭证和基本账户开户许可证或基本账户开户信息，金额及递交时间满足招标文件规定。</w:t>
            </w:r>
          </w:p>
          <w:p>
            <w:pPr>
              <w:snapToGrid w:val="0"/>
              <w:spacing w:line="360" w:lineRule="auto"/>
              <w:ind w:left="120"/>
              <w:rPr>
                <w:rFonts w:hint="eastAsia"/>
                <w:color w:val="auto"/>
                <w:highlight w:val="none"/>
                <w:lang w:eastAsia="zh-CN"/>
              </w:rPr>
            </w:pPr>
            <w:r>
              <w:rPr>
                <w:rFonts w:hint="eastAsia" w:ascii="仿宋_GB2312" w:hAnsi="仿宋_GB2312" w:eastAsia="仿宋_GB2312"/>
                <w:color w:val="auto"/>
                <w:highlight w:val="none"/>
                <w:lang w:eastAsia="zh-CN"/>
              </w:rPr>
              <w:t>以电子投标保函形式提交的须满足招标文件对电子保函的有关规定。</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已标价工程量清单</w:t>
            </w:r>
          </w:p>
        </w:tc>
        <w:tc>
          <w:tcPr>
            <w:tcW w:w="5449" w:type="dxa"/>
            <w:gridSpan w:val="3"/>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top"/>
          </w:tcPr>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符合第五章“工程量清单”给出的子目编码、子目名称、子目特征、计量单位和工程量，如无法一一对应，视为不响应招标文件要求，其投标将被否决。已标价工程量清单封面（投标总价）必须加盖投标人公章、法定代表人或其委托代理人的个人印章或签字、注册在本单位的造价人员执业资格专用章及签字。如本单位无造价人员，应委托具有相应造价资质的中介机构编制工程量清单报价并加盖其注册造价人员执业资格专用章和签字、中介机构资质章和公章。委托代理人、造价人员或委托的造价中介机构等若未办理 CA 锁，则需上传手动签字（盖章）的扫描件，同时附与造价咨询公司签订的造价咨询委托合同。</w:t>
            </w:r>
          </w:p>
          <w:p>
            <w:pPr>
              <w:snapToGrid w:val="0"/>
              <w:spacing w:line="360" w:lineRule="auto"/>
              <w:ind w:left="120"/>
              <w:rPr>
                <w:rFonts w:hint="default" w:eastAsia="宋体"/>
                <w:lang w:val="en-US" w:eastAsia="zh-CN"/>
              </w:rPr>
            </w:pPr>
            <w:r>
              <w:rPr>
                <w:rFonts w:hint="eastAsia" w:ascii="仿宋_GB2312" w:hAnsi="仿宋_GB2312" w:eastAsia="仿宋_GB2312"/>
                <w:color w:val="auto"/>
                <w:highlight w:val="none"/>
                <w:lang w:val="en-US" w:eastAsia="zh-CN"/>
              </w:rPr>
              <w:t>注：投标</w:t>
            </w:r>
            <w:r>
              <w:rPr>
                <w:rFonts w:hint="eastAsia" w:ascii="仿宋_GB2312" w:hAnsi="仿宋_GB2312" w:eastAsia="仿宋_GB2312" w:cs="Times New Roman"/>
                <w:color w:val="auto"/>
                <w:sz w:val="24"/>
                <w:szCs w:val="24"/>
                <w:highlight w:val="none"/>
                <w:lang w:val="en-US" w:eastAsia="zh-CN" w:bidi="ar-SA"/>
              </w:rPr>
              <w:t>人投标文件组成中的工程量清单上传系统时会自动生成一个投标总价封面，该封面在未办理造价人员个人签字和印章</w:t>
            </w:r>
            <w:r>
              <w:rPr>
                <w:rFonts w:hint="eastAsia" w:ascii="仿宋_GB2312" w:hAnsi="仿宋_GB2312" w:eastAsia="仿宋_GB2312"/>
                <w:color w:val="auto"/>
                <w:highlight w:val="none"/>
                <w:lang w:eastAsia="zh-CN"/>
              </w:rPr>
              <w:t>CA 锁</w:t>
            </w:r>
            <w:r>
              <w:rPr>
                <w:rFonts w:hint="eastAsia" w:ascii="仿宋_GB2312" w:hAnsi="仿宋_GB2312" w:eastAsia="仿宋_GB2312"/>
                <w:color w:val="auto"/>
                <w:highlight w:val="none"/>
                <w:lang w:val="en-US" w:eastAsia="zh-CN"/>
              </w:rPr>
              <w:t>时</w:t>
            </w:r>
            <w:r>
              <w:rPr>
                <w:rFonts w:hint="eastAsia" w:ascii="仿宋_GB2312" w:hAnsi="仿宋_GB2312" w:eastAsia="仿宋_GB2312" w:cs="Times New Roman"/>
                <w:color w:val="auto"/>
                <w:sz w:val="24"/>
                <w:szCs w:val="24"/>
                <w:highlight w:val="none"/>
                <w:lang w:val="en-US" w:eastAsia="zh-CN" w:bidi="ar-SA"/>
              </w:rPr>
              <w:t>无法进行造价人员签字并盖章，投标人自行提供的</w:t>
            </w:r>
            <w:r>
              <w:rPr>
                <w:rFonts w:hint="eastAsia" w:ascii="仿宋_GB2312" w:hAnsi="仿宋_GB2312" w:eastAsia="仿宋_GB2312"/>
                <w:color w:val="auto"/>
                <w:highlight w:val="none"/>
                <w:lang w:eastAsia="zh-CN"/>
              </w:rPr>
              <w:t>已标价工程量清单封面（投标总价）</w:t>
            </w:r>
            <w:r>
              <w:rPr>
                <w:rFonts w:hint="eastAsia" w:ascii="仿宋_GB2312" w:hAnsi="仿宋_GB2312" w:eastAsia="仿宋_GB2312"/>
                <w:color w:val="auto"/>
                <w:highlight w:val="none"/>
                <w:lang w:val="en-US" w:eastAsia="zh-CN"/>
              </w:rPr>
              <w:t>必须按上述要求签字盖章，以</w:t>
            </w:r>
            <w:r>
              <w:rPr>
                <w:rFonts w:hint="eastAsia" w:ascii="仿宋_GB2312" w:hAnsi="仿宋_GB2312" w:eastAsia="仿宋_GB2312" w:cs="Times New Roman"/>
                <w:color w:val="auto"/>
                <w:sz w:val="24"/>
                <w:szCs w:val="24"/>
                <w:highlight w:val="none"/>
                <w:lang w:val="en-US" w:eastAsia="zh-CN" w:bidi="ar-SA"/>
              </w:rPr>
              <w:t>投标人自行提供的</w:t>
            </w:r>
            <w:r>
              <w:rPr>
                <w:rFonts w:hint="eastAsia" w:ascii="仿宋_GB2312" w:hAnsi="仿宋_GB2312" w:eastAsia="仿宋_GB2312"/>
                <w:color w:val="auto"/>
                <w:highlight w:val="none"/>
                <w:lang w:eastAsia="zh-CN"/>
              </w:rPr>
              <w:t>已标价工程量清单封面（投标总价）</w:t>
            </w:r>
            <w:r>
              <w:rPr>
                <w:rFonts w:hint="eastAsia" w:ascii="仿宋_GB2312" w:hAnsi="仿宋_GB2312" w:eastAsia="仿宋_GB2312"/>
                <w:color w:val="auto"/>
                <w:highlight w:val="none"/>
                <w:lang w:val="en-US" w:eastAsia="zh-CN"/>
              </w:rPr>
              <w:t>为准。</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产品要求</w:t>
            </w:r>
          </w:p>
        </w:tc>
        <w:tc>
          <w:tcPr>
            <w:tcW w:w="5449" w:type="dxa"/>
            <w:gridSpan w:val="3"/>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top"/>
          </w:tcPr>
          <w:p>
            <w:pPr>
              <w:snapToGrid w:val="0"/>
              <w:spacing w:line="360" w:lineRule="auto"/>
              <w:ind w:left="120"/>
              <w:rPr>
                <w:rFonts w:hint="default" w:ascii="仿宋_GB2312" w:hAnsi="仿宋_GB2312" w:eastAsia="仿宋_GB2312"/>
                <w:color w:val="auto"/>
                <w:highlight w:val="none"/>
                <w:lang w:val="en-US" w:eastAsia="zh-CN"/>
              </w:rPr>
            </w:pPr>
            <w:r>
              <w:rPr>
                <w:rFonts w:hint="eastAsia" w:ascii="仿宋" w:hAnsi="仿宋" w:eastAsia="仿宋" w:cs="仿宋"/>
                <w:bCs/>
                <w:color w:val="auto"/>
                <w:sz w:val="24"/>
                <w:szCs w:val="24"/>
                <w:highlight w:val="none"/>
              </w:rPr>
              <w:t>投标</w:t>
            </w:r>
            <w:r>
              <w:rPr>
                <w:rFonts w:hint="eastAsia" w:ascii="仿宋" w:hAnsi="仿宋" w:eastAsia="仿宋" w:cs="仿宋"/>
                <w:bCs/>
                <w:color w:val="auto"/>
                <w:sz w:val="24"/>
                <w:szCs w:val="24"/>
                <w:highlight w:val="none"/>
                <w:lang w:eastAsia="zh-CN"/>
              </w:rPr>
              <w:t>人</w:t>
            </w:r>
            <w:r>
              <w:rPr>
                <w:rFonts w:hint="eastAsia" w:ascii="仿宋" w:hAnsi="仿宋" w:eastAsia="仿宋" w:cs="仿宋"/>
                <w:bCs/>
                <w:color w:val="auto"/>
                <w:sz w:val="24"/>
                <w:szCs w:val="24"/>
                <w:highlight w:val="none"/>
              </w:rPr>
              <w:t xml:space="preserve">所投的高压开关柜和箱变须有检验报告，低压开关柜须通过 </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 认证，投标</w:t>
            </w:r>
            <w:r>
              <w:rPr>
                <w:rFonts w:hint="eastAsia" w:ascii="仿宋" w:hAnsi="仿宋" w:eastAsia="仿宋" w:cs="仿宋"/>
                <w:bCs/>
                <w:color w:val="auto"/>
                <w:sz w:val="24"/>
                <w:szCs w:val="24"/>
                <w:highlight w:val="none"/>
                <w:lang w:eastAsia="zh-CN"/>
              </w:rPr>
              <w:t>文件里须附检测报告，</w:t>
            </w:r>
            <w:r>
              <w:rPr>
                <w:rFonts w:hint="eastAsia" w:ascii="仿宋" w:hAnsi="仿宋" w:eastAsia="仿宋" w:cs="仿宋"/>
                <w:bCs/>
                <w:color w:val="auto"/>
                <w:sz w:val="24"/>
                <w:szCs w:val="24"/>
                <w:highlight w:val="none"/>
                <w:lang w:val="en-US" w:eastAsia="zh-CN"/>
              </w:rPr>
              <w:t>3C认证证书，</w:t>
            </w:r>
            <w:r>
              <w:rPr>
                <w:rFonts w:hint="eastAsia" w:ascii="仿宋" w:hAnsi="仿宋" w:eastAsia="仿宋" w:cs="仿宋"/>
                <w:bCs/>
                <w:color w:val="auto"/>
                <w:sz w:val="24"/>
                <w:szCs w:val="24"/>
                <w:highlight w:val="none"/>
                <w:lang w:eastAsia="zh-CN"/>
              </w:rPr>
              <w:t>检测</w:t>
            </w:r>
            <w:r>
              <w:rPr>
                <w:rFonts w:hint="eastAsia" w:ascii="仿宋" w:hAnsi="仿宋" w:eastAsia="仿宋" w:cs="仿宋"/>
                <w:bCs/>
                <w:color w:val="auto"/>
                <w:sz w:val="24"/>
                <w:szCs w:val="24"/>
                <w:highlight w:val="none"/>
                <w:lang w:val="en-US" w:eastAsia="zh-CN"/>
              </w:rPr>
              <w:t>报告、3C认证证书显示规格型号须与投标规格型号一致</w:t>
            </w:r>
            <w:r>
              <w:rPr>
                <w:rFonts w:hint="eastAsia" w:ascii="仿宋_GB2312" w:hAnsi="仿宋_GB2312" w:eastAsia="仿宋_GB2312"/>
                <w:color w:val="auto"/>
                <w:highlight w:val="none"/>
                <w:lang w:val="en-US" w:eastAsia="zh-CN"/>
              </w:rPr>
              <w:t>。</w:t>
            </w:r>
          </w:p>
        </w:tc>
      </w:tr>
      <w:tr>
        <w:tblPrEx>
          <w:tblCellMar>
            <w:top w:w="0" w:type="dxa"/>
            <w:left w:w="0" w:type="dxa"/>
            <w:bottom w:w="0" w:type="dxa"/>
            <w:right w:w="0" w:type="dxa"/>
          </w:tblCellMar>
        </w:tblPrEx>
        <w:trPr>
          <w:trHeight w:val="578"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rPr>
                <w:rFonts w:hint="eastAsia" w:ascii="仿宋_GB2312" w:hAnsi="仿宋_GB2312" w:eastAsia="仿宋_GB2312"/>
                <w:color w:val="auto"/>
                <w:highlight w:val="none"/>
              </w:rPr>
            </w:pPr>
          </w:p>
        </w:tc>
        <w:tc>
          <w:tcPr>
            <w:tcW w:w="1973" w:type="dxa"/>
            <w:gridSpan w:val="3"/>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技术标准与要求</w:t>
            </w:r>
          </w:p>
        </w:tc>
        <w:tc>
          <w:tcPr>
            <w:tcW w:w="5449" w:type="dxa"/>
            <w:gridSpan w:val="3"/>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top"/>
          </w:tcPr>
          <w:p>
            <w:pPr>
              <w:snapToGrid w:val="0"/>
              <w:spacing w:line="360" w:lineRule="auto"/>
              <w:ind w:left="120"/>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eastAsia="zh-CN"/>
              </w:rPr>
              <w:t>提供完全响应的招标文件第七章</w:t>
            </w:r>
            <w:r>
              <w:rPr>
                <w:rFonts w:hint="eastAsia" w:ascii="仿宋_GB2312" w:hAnsi="仿宋_GB2312" w:eastAsia="仿宋_GB2312"/>
                <w:color w:val="auto"/>
                <w:highlight w:val="none"/>
                <w:lang w:val="en-US" w:eastAsia="zh-CN"/>
              </w:rPr>
              <w:t xml:space="preserve"> </w:t>
            </w:r>
            <w:r>
              <w:rPr>
                <w:rFonts w:hint="eastAsia" w:ascii="仿宋_GB2312" w:hAnsi="仿宋_GB2312" w:eastAsia="仿宋_GB2312"/>
                <w:color w:val="auto"/>
                <w:highlight w:val="none"/>
                <w:lang w:eastAsia="zh-CN"/>
              </w:rPr>
              <w:t>技术标准与要求所有内容的声明函</w:t>
            </w:r>
            <w:r>
              <w:rPr>
                <w:rFonts w:hint="eastAsia" w:ascii="仿宋_GB2312" w:hAnsi="仿宋_GB2312" w:eastAsia="仿宋_GB2312"/>
                <w:color w:val="auto"/>
                <w:highlight w:val="none"/>
                <w:lang w:val="en-US" w:eastAsia="zh-CN"/>
              </w:rPr>
              <w:t xml:space="preserve"> </w:t>
            </w:r>
          </w:p>
        </w:tc>
      </w:tr>
      <w:tr>
        <w:tblPrEx>
          <w:tblCellMar>
            <w:top w:w="0" w:type="dxa"/>
            <w:left w:w="0" w:type="dxa"/>
            <w:bottom w:w="0" w:type="dxa"/>
            <w:right w:w="0" w:type="dxa"/>
          </w:tblCellMar>
        </w:tblPrEx>
        <w:trPr>
          <w:trHeight w:val="284" w:hRule="atLeast"/>
          <w:jc w:val="center"/>
        </w:trPr>
        <w:tc>
          <w:tcPr>
            <w:tcW w:w="765" w:type="dxa"/>
            <w:vMerge w:val="continue"/>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p>
        </w:tc>
        <w:tc>
          <w:tcPr>
            <w:tcW w:w="1432" w:type="dxa"/>
            <w:gridSpan w:val="4"/>
            <w:vMerge w:val="continue"/>
            <w:tcBorders>
              <w:top w:val="single" w:color="000000" w:sz="4" w:space="0"/>
              <w:left w:val="single" w:color="000000" w:sz="4" w:space="0"/>
              <w:bottom w:val="single" w:color="000000" w:sz="4" w:space="0"/>
              <w:right w:val="single" w:color="auto"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p>
        </w:tc>
        <w:tc>
          <w:tcPr>
            <w:tcW w:w="1973"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snapToGrid w:val="0"/>
              <w:spacing w:line="360" w:lineRule="auto"/>
              <w:ind w:left="12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投标报价</w:t>
            </w:r>
          </w:p>
        </w:tc>
        <w:tc>
          <w:tcPr>
            <w:tcW w:w="5449" w:type="dxa"/>
            <w:gridSpan w:val="3"/>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不高于招标人公布的招标控制价</w:t>
            </w:r>
          </w:p>
        </w:tc>
      </w:tr>
      <w:tr>
        <w:tblPrEx>
          <w:tblCellMar>
            <w:top w:w="0" w:type="dxa"/>
            <w:left w:w="0" w:type="dxa"/>
            <w:bottom w:w="0" w:type="dxa"/>
            <w:right w:w="0" w:type="dxa"/>
          </w:tblCellMar>
        </w:tblPrEx>
        <w:trPr>
          <w:trHeight w:val="1189" w:hRule="atLeast"/>
          <w:jc w:val="center"/>
        </w:trPr>
        <w:tc>
          <w:tcPr>
            <w:tcW w:w="2197"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2.2.1</w:t>
            </w:r>
          </w:p>
        </w:tc>
        <w:tc>
          <w:tcPr>
            <w:tcW w:w="1973" w:type="dxa"/>
            <w:gridSpan w:val="3"/>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分值构成＝商务标+技术标+综合标(总分100分)</w:t>
            </w:r>
          </w:p>
        </w:tc>
        <w:tc>
          <w:tcPr>
            <w:tcW w:w="5449" w:type="dxa"/>
            <w:gridSpan w:val="3"/>
            <w:tcBorders>
              <w:top w:val="single" w:color="auto"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商务标：</w:t>
            </w: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rPr>
              <w:t>分，技术标</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r>
              <w:rPr>
                <w:rFonts w:hint="eastAsia" w:ascii="仿宋" w:hAnsi="仿宋" w:eastAsia="仿宋" w:cs="仿宋"/>
                <w:color w:val="auto"/>
                <w:highlight w:val="none"/>
              </w:rPr>
              <w:t>综合标：</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分。</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评委集体评议分别打分的算术平均值，即为该单位最终得分。</w:t>
            </w:r>
          </w:p>
        </w:tc>
      </w:tr>
      <w:tr>
        <w:tblPrEx>
          <w:tblCellMar>
            <w:top w:w="0" w:type="dxa"/>
            <w:left w:w="0" w:type="dxa"/>
            <w:bottom w:w="0" w:type="dxa"/>
            <w:right w:w="0" w:type="dxa"/>
          </w:tblCellMar>
        </w:tblPrEx>
        <w:trPr>
          <w:trHeight w:val="758" w:hRule="atLeast"/>
          <w:jc w:val="center"/>
        </w:trPr>
        <w:tc>
          <w:tcPr>
            <w:tcW w:w="2197"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2.2.2</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评标基准价计算方法</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工程量清单报价评标基准价计算公式为：</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评标基准价＝招标控制价×K+评标报价×（1－K）。</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其中：K为招标控制价权重系数，取值范围为0.3≤K≤0.5，在开标现场随机抽取。K值在取值区间内间隔为0.05，共有5个号码球，分别代表0.3、0.35、0.4、0.45、0.5。评标报价为各投标人有效评标报价去掉一个最高和一个最低报价后的算术平均值。当有效投标少于5家时（不含5家），则以所有有效评标报价的算术平均值作为投标报价。</w:t>
            </w:r>
            <w:r>
              <w:rPr>
                <w:rFonts w:hint="eastAsia" w:ascii="仿宋" w:hAnsi="仿宋" w:eastAsia="仿宋" w:cs="仿宋"/>
                <w:b/>
                <w:bCs/>
                <w:color w:val="auto"/>
                <w:highlight w:val="none"/>
              </w:rPr>
              <w:t>招标控制价、评标报价、有效评标报价在参与评标基准价计算时，均指不含:规费、安全文明施工措施费、增值税、</w:t>
            </w:r>
            <w:commentRangeStart w:id="1"/>
            <w:r>
              <w:rPr>
                <w:rFonts w:hint="eastAsia" w:ascii="仿宋" w:hAnsi="仿宋" w:eastAsia="仿宋" w:cs="仿宋"/>
                <w:b/>
                <w:bCs/>
                <w:color w:val="auto"/>
                <w:highlight w:val="yellow"/>
              </w:rPr>
              <w:t>专业工程暂估金额的数值</w:t>
            </w:r>
            <w:commentRangeEnd w:id="1"/>
            <w:r>
              <w:commentReference w:id="1"/>
            </w:r>
            <w:r>
              <w:rPr>
                <w:rFonts w:hint="eastAsia" w:ascii="仿宋" w:hAnsi="仿宋" w:eastAsia="仿宋" w:cs="仿宋"/>
                <w:color w:val="auto"/>
                <w:highlight w:val="none"/>
              </w:rPr>
              <w:t>。</w:t>
            </w:r>
          </w:p>
        </w:tc>
      </w:tr>
      <w:tr>
        <w:tblPrEx>
          <w:tblCellMar>
            <w:top w:w="0" w:type="dxa"/>
            <w:left w:w="0" w:type="dxa"/>
            <w:bottom w:w="0" w:type="dxa"/>
            <w:right w:w="0" w:type="dxa"/>
          </w:tblCellMar>
        </w:tblPrEx>
        <w:trPr>
          <w:trHeight w:val="948" w:hRule="atLeast"/>
          <w:jc w:val="center"/>
        </w:trPr>
        <w:tc>
          <w:tcPr>
            <w:tcW w:w="2197"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2.2.3</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评标报价的偏差率计算公式</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偏差率=100% ×（评标报价-评标基准价）/评标基准价</w:t>
            </w:r>
          </w:p>
        </w:tc>
      </w:tr>
      <w:tr>
        <w:tblPrEx>
          <w:tblCellMar>
            <w:top w:w="0" w:type="dxa"/>
            <w:left w:w="0" w:type="dxa"/>
            <w:bottom w:w="0" w:type="dxa"/>
            <w:right w:w="0" w:type="dxa"/>
          </w:tblCellMar>
        </w:tblPrEx>
        <w:trPr>
          <w:trHeight w:val="458" w:hRule="atLeast"/>
          <w:jc w:val="center"/>
        </w:trPr>
        <w:tc>
          <w:tcPr>
            <w:tcW w:w="2197" w:type="dxa"/>
            <w:gridSpan w:val="5"/>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条款号</w:t>
            </w:r>
          </w:p>
        </w:tc>
        <w:tc>
          <w:tcPr>
            <w:tcW w:w="1973"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5449" w:type="dxa"/>
            <w:gridSpan w:val="3"/>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tblPrEx>
          <w:tblCellMar>
            <w:top w:w="0" w:type="dxa"/>
            <w:left w:w="0" w:type="dxa"/>
            <w:bottom w:w="0" w:type="dxa"/>
            <w:right w:w="0" w:type="dxa"/>
          </w:tblCellMar>
        </w:tblPrEx>
        <w:trPr>
          <w:trHeight w:val="324" w:hRule="atLeast"/>
          <w:jc w:val="center"/>
        </w:trPr>
        <w:tc>
          <w:tcPr>
            <w:tcW w:w="1020" w:type="dxa"/>
            <w:gridSpan w:val="2"/>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2.2.4(1)</w:t>
            </w:r>
          </w:p>
        </w:tc>
        <w:tc>
          <w:tcPr>
            <w:tcW w:w="723" w:type="dxa"/>
            <w:gridSpan w:val="2"/>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商</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务</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标</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45</w:t>
            </w:r>
            <w:r>
              <w:rPr>
                <w:rFonts w:hint="eastAsia" w:ascii="仿宋" w:hAnsi="仿宋" w:eastAsia="仿宋" w:cs="仿宋"/>
                <w:color w:val="auto"/>
                <w:highlight w:val="none"/>
              </w:rPr>
              <w:t>分</w:t>
            </w:r>
          </w:p>
          <w:p>
            <w:pPr>
              <w:pStyle w:val="22"/>
              <w:rPr>
                <w:rFonts w:hint="eastAsia"/>
                <w:color w:val="auto"/>
                <w:sz w:val="24"/>
                <w:szCs w:val="24"/>
                <w:highlight w:val="none"/>
              </w:rPr>
            </w:pPr>
          </w:p>
          <w:p>
            <w:pPr>
              <w:pStyle w:val="22"/>
              <w:rPr>
                <w:rFonts w:hint="eastAsia"/>
                <w:color w:val="auto"/>
                <w:highlight w:val="none"/>
              </w:rPr>
            </w:pPr>
          </w:p>
          <w:p>
            <w:pPr>
              <w:pStyle w:val="22"/>
              <w:rPr>
                <w:rFonts w:hint="eastAsia"/>
                <w:color w:val="auto"/>
                <w:highlight w:val="none"/>
              </w:rPr>
            </w:pPr>
          </w:p>
        </w:tc>
        <w:tc>
          <w:tcPr>
            <w:tcW w:w="1077" w:type="dxa"/>
            <w:gridSpan w:val="2"/>
            <w:vMerge w:val="restart"/>
            <w:tcBorders>
              <w:top w:val="single" w:color="000000" w:sz="4" w:space="0"/>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报价评分标准</w:t>
            </w:r>
          </w:p>
          <w:p>
            <w:pPr>
              <w:snapToGrid w:val="0"/>
              <w:spacing w:line="360" w:lineRule="auto"/>
              <w:ind w:left="120"/>
              <w:jc w:val="center"/>
              <w:rPr>
                <w:rFonts w:hint="eastAsia" w:ascii="仿宋" w:hAnsi="仿宋" w:eastAsia="仿宋" w:cs="仿宋"/>
                <w:color w:val="auto"/>
                <w:highlight w:val="none"/>
              </w:rPr>
            </w:pPr>
          </w:p>
        </w:tc>
        <w:tc>
          <w:tcPr>
            <w:tcW w:w="1350" w:type="dxa"/>
            <w:gridSpan w:val="2"/>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评标报价得分</w:t>
            </w:r>
            <w:r>
              <w:rPr>
                <w:rFonts w:hint="eastAsia" w:ascii="仿宋" w:hAnsi="仿宋" w:eastAsia="仿宋" w:cs="仿宋"/>
                <w:color w:val="auto"/>
                <w:highlight w:val="none"/>
                <w:lang w:val="en-US" w:eastAsia="zh-CN"/>
              </w:rPr>
              <w:t>35</w:t>
            </w:r>
            <w:r>
              <w:rPr>
                <w:rFonts w:hint="eastAsia" w:ascii="仿宋" w:hAnsi="仿宋" w:eastAsia="仿宋" w:cs="仿宋"/>
                <w:color w:val="auto"/>
                <w:highlight w:val="none"/>
              </w:rPr>
              <w:t>分</w:t>
            </w:r>
          </w:p>
        </w:tc>
        <w:tc>
          <w:tcPr>
            <w:tcW w:w="5449" w:type="dxa"/>
            <w:gridSpan w:val="3"/>
            <w:tcBorders>
              <w:top w:val="single" w:color="000000"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当评标报价与评标基准价相等时，得基本分</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分。当评标报价低于评标基准价时，每低1%范围内在基本分</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分的基础上加1分，最多加5分；当评标报价低于评标基准价5%以上（不含5%）时，每再低1%范围内在满分</w:t>
            </w:r>
            <w:r>
              <w:rPr>
                <w:rFonts w:hint="eastAsia" w:ascii="仿宋" w:hAnsi="仿宋" w:eastAsia="仿宋" w:cs="仿宋"/>
                <w:color w:val="auto"/>
                <w:highlight w:val="none"/>
                <w:lang w:val="en-US" w:eastAsia="zh-CN"/>
              </w:rPr>
              <w:t>35</w:t>
            </w:r>
            <w:r>
              <w:rPr>
                <w:rFonts w:hint="eastAsia" w:ascii="仿宋" w:hAnsi="仿宋" w:eastAsia="仿宋" w:cs="仿宋"/>
                <w:color w:val="auto"/>
                <w:highlight w:val="none"/>
              </w:rPr>
              <w:t>分的基础上扣2分，扣完为止；当评标报价高于评标基准价时，每高1%范围内在基本分</w:t>
            </w: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分的基础上扣2分，扣完为止。</w:t>
            </w:r>
          </w:p>
        </w:tc>
      </w:tr>
      <w:tr>
        <w:tblPrEx>
          <w:tblCellMar>
            <w:top w:w="0" w:type="dxa"/>
            <w:left w:w="0" w:type="dxa"/>
            <w:bottom w:w="0" w:type="dxa"/>
            <w:right w:w="0" w:type="dxa"/>
          </w:tblCellMar>
        </w:tblPrEx>
        <w:trPr>
          <w:trHeight w:val="324" w:hRule="atLeast"/>
          <w:jc w:val="center"/>
        </w:trPr>
        <w:tc>
          <w:tcPr>
            <w:tcW w:w="1020" w:type="dxa"/>
            <w:gridSpan w:val="2"/>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p>
        </w:tc>
        <w:tc>
          <w:tcPr>
            <w:tcW w:w="723" w:type="dxa"/>
            <w:gridSpan w:val="2"/>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p>
        </w:tc>
        <w:tc>
          <w:tcPr>
            <w:tcW w:w="1077" w:type="dxa"/>
            <w:gridSpan w:val="2"/>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hint="eastAsia" w:ascii="仿宋" w:hAnsi="仿宋" w:eastAsia="仿宋" w:cs="仿宋"/>
                <w:color w:val="auto"/>
                <w:highlight w:val="none"/>
              </w:rPr>
            </w:pPr>
          </w:p>
        </w:tc>
        <w:tc>
          <w:tcPr>
            <w:tcW w:w="1350" w:type="dxa"/>
            <w:gridSpan w:val="2"/>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分部分项工程项目清单单价评审</w:t>
            </w:r>
          </w:p>
          <w:p>
            <w:pPr>
              <w:snapToGrid w:val="0"/>
              <w:spacing w:line="360" w:lineRule="auto"/>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(5分)</w:t>
            </w:r>
          </w:p>
        </w:tc>
        <w:tc>
          <w:tcPr>
            <w:tcW w:w="5449" w:type="dxa"/>
            <w:gridSpan w:val="3"/>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从最高投标限价中分部分项工程项目权重最大的前20项清单项目中抽取</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若不够10项全部抽取</w:t>
            </w:r>
            <w:r>
              <w:rPr>
                <w:rFonts w:hint="eastAsia" w:ascii="仿宋" w:hAnsi="仿宋" w:eastAsia="仿宋" w:cs="仿宋"/>
                <w:color w:val="auto"/>
                <w:highlight w:val="none"/>
              </w:rPr>
              <w:t>。</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综合单价基准值是以各有效投标报价中（当有效投标人5名及以上时，去掉1个最高、1个最低值）对应抽取清单项目综合单价的算术平均值。</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投标人报价在综合单价基准值95%–103%范围内（不含95%和103%）的，每项得</w:t>
            </w:r>
            <w:r>
              <w:rPr>
                <w:rFonts w:hint="eastAsia" w:ascii="仿宋" w:hAnsi="仿宋" w:eastAsia="仿宋" w:cs="仿宋"/>
                <w:color w:val="auto"/>
                <w:highlight w:val="none"/>
                <w:lang w:val="en-US" w:eastAsia="zh-CN"/>
              </w:rPr>
              <w:t>0.5分</w:t>
            </w:r>
            <w:r>
              <w:rPr>
                <w:rFonts w:hint="eastAsia" w:ascii="仿宋" w:hAnsi="仿宋" w:eastAsia="仿宋" w:cs="仿宋"/>
                <w:color w:val="auto"/>
                <w:highlight w:val="none"/>
              </w:rPr>
              <w:t>；在综合单价基准值90%–95%范围内（含90%和95%）每项得</w:t>
            </w:r>
            <w:r>
              <w:rPr>
                <w:rFonts w:hint="eastAsia" w:ascii="仿宋" w:hAnsi="仿宋" w:eastAsia="仿宋" w:cs="仿宋"/>
                <w:color w:val="auto"/>
                <w:highlight w:val="none"/>
                <w:lang w:val="en-US" w:eastAsia="zh-CN"/>
              </w:rPr>
              <w:t>0.25分</w:t>
            </w:r>
            <w:r>
              <w:rPr>
                <w:rFonts w:hint="eastAsia" w:ascii="仿宋" w:hAnsi="仿宋" w:eastAsia="仿宋" w:cs="仿宋"/>
                <w:color w:val="auto"/>
                <w:highlight w:val="none"/>
              </w:rPr>
              <w:t>。满分共计5分。超出该范围的不得分。</w:t>
            </w:r>
          </w:p>
        </w:tc>
      </w:tr>
      <w:tr>
        <w:tblPrEx>
          <w:tblCellMar>
            <w:top w:w="0" w:type="dxa"/>
            <w:left w:w="0" w:type="dxa"/>
            <w:bottom w:w="0" w:type="dxa"/>
            <w:right w:w="0" w:type="dxa"/>
          </w:tblCellMar>
        </w:tblPrEx>
        <w:trPr>
          <w:trHeight w:val="324" w:hRule="atLeast"/>
          <w:jc w:val="center"/>
        </w:trPr>
        <w:tc>
          <w:tcPr>
            <w:tcW w:w="1020" w:type="dxa"/>
            <w:gridSpan w:val="2"/>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p>
        </w:tc>
        <w:tc>
          <w:tcPr>
            <w:tcW w:w="723" w:type="dxa"/>
            <w:gridSpan w:val="2"/>
            <w:vMerge w:val="continue"/>
            <w:tcBorders>
              <w:left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p>
        </w:tc>
        <w:tc>
          <w:tcPr>
            <w:tcW w:w="1077" w:type="dxa"/>
            <w:gridSpan w:val="2"/>
            <w:vMerge w:val="continue"/>
            <w:tcBorders>
              <w:left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hint="eastAsia" w:ascii="仿宋" w:hAnsi="仿宋" w:eastAsia="仿宋" w:cs="仿宋"/>
                <w:color w:val="auto"/>
                <w:highlight w:val="none"/>
              </w:rPr>
            </w:pPr>
          </w:p>
        </w:tc>
        <w:tc>
          <w:tcPr>
            <w:tcW w:w="1350" w:type="dxa"/>
            <w:gridSpan w:val="2"/>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措施项目费的评审（不含安全文明措施费）（</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tc>
        <w:tc>
          <w:tcPr>
            <w:tcW w:w="5449" w:type="dxa"/>
            <w:gridSpan w:val="3"/>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措施项目费基准值是在最高投标限价中措施项目费用80%-110%范围之间的有效投标人所报措施项目费的算术平均值。当有效投标人所报措施项目费均不在最高投标限价中措施项目费用80%-110%范围之间的，以最高投标限价中措施项目费用的95%为基准值。</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与措施项目基准值相等得基本分</w:t>
            </w: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分。当投标报价低于措施项目基准值时，每低1%在基本分1分的基础上加0.</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分，最多加至</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分为止；当高于措施项目基准值时，每高于1%时，在基本分1分的基础上扣0.2分，扣完为止。</w:t>
            </w:r>
          </w:p>
        </w:tc>
      </w:tr>
      <w:tr>
        <w:tblPrEx>
          <w:tblCellMar>
            <w:top w:w="0" w:type="dxa"/>
            <w:left w:w="0" w:type="dxa"/>
            <w:bottom w:w="0" w:type="dxa"/>
            <w:right w:w="0" w:type="dxa"/>
          </w:tblCellMar>
        </w:tblPrEx>
        <w:trPr>
          <w:trHeight w:val="324" w:hRule="atLeast"/>
          <w:jc w:val="center"/>
        </w:trPr>
        <w:tc>
          <w:tcPr>
            <w:tcW w:w="1020" w:type="dxa"/>
            <w:gridSpan w:val="2"/>
            <w:vMerge w:val="continue"/>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p>
        </w:tc>
        <w:tc>
          <w:tcPr>
            <w:tcW w:w="723" w:type="dxa"/>
            <w:gridSpan w:val="2"/>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ind w:left="120"/>
              <w:rPr>
                <w:rFonts w:hint="eastAsia" w:ascii="仿宋" w:hAnsi="仿宋" w:eastAsia="仿宋" w:cs="仿宋"/>
                <w:color w:val="auto"/>
                <w:highlight w:val="none"/>
              </w:rPr>
            </w:pPr>
          </w:p>
        </w:tc>
        <w:tc>
          <w:tcPr>
            <w:tcW w:w="1077" w:type="dxa"/>
            <w:gridSpan w:val="2"/>
            <w:vMerge w:val="continue"/>
            <w:tcBorders>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jc w:val="center"/>
              <w:rPr>
                <w:rFonts w:hint="eastAsia" w:ascii="仿宋" w:hAnsi="仿宋" w:eastAsia="仿宋" w:cs="仿宋"/>
                <w:color w:val="auto"/>
                <w:highlight w:val="none"/>
              </w:rPr>
            </w:pPr>
          </w:p>
        </w:tc>
        <w:tc>
          <w:tcPr>
            <w:tcW w:w="1350" w:type="dxa"/>
            <w:gridSpan w:val="2"/>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主要材料单价的评审（</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5449" w:type="dxa"/>
            <w:gridSpan w:val="3"/>
            <w:tcBorders>
              <w:top w:val="single" w:color="auto" w:sz="4" w:space="0"/>
              <w:left w:val="single" w:color="000000" w:sz="4" w:space="0"/>
              <w:bottom w:val="single" w:color="auto"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从最高投标限价中材料总价权重最大的前20项材料中抽取</w:t>
            </w:r>
            <w:r>
              <w:rPr>
                <w:rFonts w:hint="eastAsia" w:ascii="仿宋" w:hAnsi="仿宋" w:eastAsia="仿宋" w:cs="仿宋"/>
                <w:color w:val="auto"/>
                <w:highlight w:val="none"/>
                <w:lang w:val="en-US" w:eastAsia="zh-CN"/>
              </w:rPr>
              <w:t>10</w:t>
            </w:r>
            <w:r>
              <w:rPr>
                <w:rFonts w:hint="eastAsia" w:ascii="仿宋" w:hAnsi="仿宋" w:eastAsia="仿宋" w:cs="仿宋"/>
                <w:color w:val="auto"/>
                <w:highlight w:val="none"/>
              </w:rPr>
              <w:t>项</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若不够10项全部抽取</w:t>
            </w:r>
            <w:r>
              <w:rPr>
                <w:rFonts w:hint="eastAsia" w:ascii="仿宋" w:hAnsi="仿宋" w:eastAsia="仿宋" w:cs="仿宋"/>
                <w:color w:val="auto"/>
                <w:highlight w:val="none"/>
              </w:rPr>
              <w:t>。</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主要材料单价基准值是以各有效投标报价中（当有效投标人5名及以上时，去掉1个最高、1个最低值）对应抽取材料单价的算术平均值。</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当投标人报价在材料单价基准值95%–103%范围内（不含95%和103%）每项得</w:t>
            </w:r>
            <w:r>
              <w:rPr>
                <w:rFonts w:hint="eastAsia" w:ascii="仿宋" w:hAnsi="仿宋" w:eastAsia="仿宋" w:cs="仿宋"/>
                <w:color w:val="auto"/>
                <w:highlight w:val="none"/>
                <w:lang w:val="en-US" w:eastAsia="zh-CN"/>
              </w:rPr>
              <w:t>0.2分</w:t>
            </w:r>
            <w:r>
              <w:rPr>
                <w:rFonts w:hint="eastAsia" w:ascii="仿宋" w:hAnsi="仿宋" w:eastAsia="仿宋" w:cs="仿宋"/>
                <w:color w:val="auto"/>
                <w:highlight w:val="none"/>
              </w:rPr>
              <w:t>，在材料单价基准值90%–95%范围内（含90%和95%）每项得</w:t>
            </w:r>
            <w:r>
              <w:rPr>
                <w:rFonts w:hint="eastAsia" w:ascii="仿宋" w:hAnsi="仿宋" w:eastAsia="仿宋" w:cs="仿宋"/>
                <w:color w:val="auto"/>
                <w:highlight w:val="none"/>
                <w:lang w:val="en-US" w:eastAsia="zh-CN"/>
              </w:rPr>
              <w:t>0.1</w:t>
            </w:r>
            <w:r>
              <w:rPr>
                <w:rFonts w:hint="eastAsia" w:ascii="仿宋" w:hAnsi="仿宋" w:eastAsia="仿宋" w:cs="仿宋"/>
                <w:color w:val="auto"/>
                <w:highlight w:val="none"/>
              </w:rPr>
              <w:t>分。超出该范围的不得分。材料单价与综合单价组成中价格不一致时该项为0分。</w:t>
            </w:r>
          </w:p>
        </w:tc>
      </w:tr>
      <w:tr>
        <w:tblPrEx>
          <w:tblCellMar>
            <w:top w:w="0" w:type="dxa"/>
            <w:left w:w="0" w:type="dxa"/>
            <w:bottom w:w="0" w:type="dxa"/>
            <w:right w:w="0" w:type="dxa"/>
          </w:tblCellMar>
        </w:tblPrEx>
        <w:trPr>
          <w:trHeight w:val="324" w:hRule="atLeast"/>
          <w:jc w:val="center"/>
        </w:trPr>
        <w:tc>
          <w:tcPr>
            <w:tcW w:w="9619" w:type="dxa"/>
            <w:gridSpan w:val="11"/>
            <w:tcBorders>
              <w:left w:val="single" w:color="000000" w:sz="4" w:space="0"/>
              <w:bottom w:val="single" w:color="000000" w:sz="4" w:space="0"/>
              <w:right w:val="single" w:color="000000" w:sz="4" w:space="0"/>
            </w:tcBorders>
            <w:noWrap w:val="0"/>
            <w:tcMar>
              <w:top w:w="0" w:type="dxa"/>
              <w:left w:w="0" w:type="dxa"/>
              <w:bottom w:w="0" w:type="dxa"/>
              <w:right w:w="0" w:type="dxa"/>
            </w:tcMar>
            <w:vAlign w:val="center"/>
          </w:tcPr>
          <w:p>
            <w:pPr>
              <w:snapToGrid w:val="0"/>
              <w:spacing w:line="360" w:lineRule="auto"/>
              <w:ind w:left="120"/>
              <w:rPr>
                <w:rFonts w:hint="eastAsia"/>
                <w:color w:val="auto"/>
                <w:highlight w:val="none"/>
              </w:rPr>
            </w:pPr>
            <w:r>
              <w:rPr>
                <w:rFonts w:hint="eastAsia" w:ascii="仿宋" w:hAnsi="仿宋" w:eastAsia="仿宋" w:cs="仿宋"/>
                <w:color w:val="auto"/>
                <w:highlight w:val="none"/>
              </w:rPr>
              <w:t>注：当分部分项工程项目数量较少、施工工艺简单、主材种类较少而不能满足最低抽项要求的，应将所有分部分项工程项目或主要材料项目纳入评审范围。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restart"/>
            <w:noWrap w:val="0"/>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2.2.4(</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w:t>
            </w:r>
          </w:p>
        </w:tc>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技</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术</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标</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分</w:t>
            </w:r>
          </w:p>
          <w:p>
            <w:pPr>
              <w:pStyle w:val="22"/>
              <w:rPr>
                <w:rFonts w:hint="eastAsia"/>
                <w:color w:val="auto"/>
                <w:highlight w:val="none"/>
              </w:rPr>
            </w:pPr>
          </w:p>
          <w:p>
            <w:pPr>
              <w:snapToGrid w:val="0"/>
              <w:spacing w:line="360" w:lineRule="auto"/>
              <w:ind w:left="120" w:leftChars="0"/>
              <w:rPr>
                <w:rFonts w:hint="eastAsia" w:ascii="仿宋" w:hAnsi="仿宋" w:eastAsia="仿宋" w:cs="仿宋"/>
                <w:color w:val="auto"/>
                <w:highlight w:val="none"/>
              </w:rPr>
            </w:pPr>
          </w:p>
        </w:tc>
        <w:tc>
          <w:tcPr>
            <w:tcW w:w="1807"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内容</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评审标准</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内容完整性（0.5分）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技术标的主要内容的完整性，符合招标文件要求的程度。</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技术标不符合招标文件要求。</w:t>
            </w:r>
          </w:p>
        </w:tc>
        <w:tc>
          <w:tcPr>
            <w:tcW w:w="1795" w:type="dxa"/>
            <w:noWrap w:val="0"/>
            <w:vAlign w:val="center"/>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主要施工方案与技术措施（3分）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施工方案（含工程特点、施工重点与难点及绿色施工）总体安排合理，运用先进、合理的施工工艺、施工机械；对施工难点有先进和合理的建议。</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施工方案（含工程特点、施工重点与难点及绿色施工）总体安排合理，施工工艺、施工机械合理、可行；对施工难点有合理的建议。</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质量管理体系与措施</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组织机构形式合理，有完善的指挥系统、质量监控系统、联络协调系统，对项目提出先进、可行、具体的保证措施。按照工程建设强制性标准和其他技术标准施工，不得偷工减料。</w:t>
            </w:r>
          </w:p>
        </w:tc>
        <w:tc>
          <w:tcPr>
            <w:tcW w:w="1795" w:type="dxa"/>
            <w:noWrap w:val="0"/>
            <w:vAlign w:val="center"/>
          </w:tcPr>
          <w:p>
            <w:pPr>
              <w:snapToGrid w:val="0"/>
              <w:ind w:left="120" w:leftChars="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＜得分≤</w:t>
            </w:r>
            <w:r>
              <w:rPr>
                <w:rFonts w:hint="eastAsia" w:ascii="仿宋" w:hAnsi="仿宋" w:eastAsia="仿宋" w:cs="仿宋"/>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组织机构形式基本合理，指挥系统、质量监控系统、联络协调系统，具体措施可行。符合工程建设强制性标准，不得偷工减料。</w:t>
            </w:r>
          </w:p>
        </w:tc>
        <w:tc>
          <w:tcPr>
            <w:tcW w:w="1795" w:type="dxa"/>
            <w:noWrap w:val="0"/>
            <w:vAlign w:val="center"/>
          </w:tcPr>
          <w:p>
            <w:pPr>
              <w:snapToGrid w:val="0"/>
              <w:ind w:left="120" w:leftChars="0"/>
              <w:rPr>
                <w:rFonts w:hint="default" w:ascii="仿宋" w:hAnsi="仿宋" w:eastAsia="仿宋" w:cs="仿宋"/>
                <w:color w:val="auto"/>
                <w:highlight w:val="none"/>
                <w:lang w:val="en-US" w:eastAsia="zh-CN"/>
              </w:rPr>
            </w:pPr>
            <w:r>
              <w:rPr>
                <w:rFonts w:hint="eastAsia" w:ascii="仿宋" w:hAnsi="仿宋" w:eastAsia="仿宋" w:cs="仿宋"/>
                <w:color w:val="auto"/>
                <w:highlight w:val="none"/>
              </w:rPr>
              <w:t>1≤得分≤</w:t>
            </w:r>
            <w:r>
              <w:rPr>
                <w:rFonts w:hint="eastAsia" w:ascii="仿宋" w:hAnsi="仿宋" w:eastAsia="仿宋" w:cs="仿宋"/>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安全管理体系与措施</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795" w:type="dxa"/>
            <w:noWrap w:val="0"/>
            <w:vAlign w:val="center"/>
          </w:tcPr>
          <w:p>
            <w:pPr>
              <w:snapToGrid w:val="0"/>
              <w:ind w:left="120" w:leftChars="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1.5</w:t>
            </w:r>
            <w:r>
              <w:rPr>
                <w:rFonts w:hint="eastAsia" w:ascii="仿宋" w:hAnsi="仿宋" w:eastAsia="仿宋" w:cs="仿宋"/>
                <w:color w:val="auto"/>
                <w:highlight w:val="none"/>
              </w:rPr>
              <w:t>＜得分≤</w:t>
            </w:r>
            <w:r>
              <w:rPr>
                <w:rFonts w:hint="eastAsia" w:ascii="仿宋" w:hAnsi="仿宋" w:eastAsia="仿宋" w:cs="仿宋"/>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795" w:type="dxa"/>
            <w:noWrap w:val="0"/>
            <w:vAlign w:val="center"/>
          </w:tcPr>
          <w:p>
            <w:pPr>
              <w:snapToGrid w:val="0"/>
              <w:ind w:left="120" w:leftChars="0"/>
              <w:rPr>
                <w:rFonts w:hint="eastAsia" w:ascii="仿宋" w:hAnsi="仿宋" w:eastAsia="仿宋" w:cs="仿宋"/>
                <w:color w:val="auto"/>
                <w:highlight w:val="none"/>
                <w:lang w:eastAsia="zh-CN"/>
              </w:rPr>
            </w:pPr>
            <w:r>
              <w:rPr>
                <w:rFonts w:hint="eastAsia" w:ascii="仿宋" w:hAnsi="仿宋" w:eastAsia="仿宋" w:cs="仿宋"/>
                <w:color w:val="auto"/>
                <w:highlight w:val="none"/>
              </w:rPr>
              <w:t>1≤得分≤</w:t>
            </w:r>
            <w:r>
              <w:rPr>
                <w:rFonts w:hint="eastAsia" w:ascii="仿宋" w:hAnsi="仿宋" w:eastAsia="仿宋" w:cs="仿宋"/>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文明施工、环境保护管理体系及施工现场扬尘治理措施  （3分）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工期保证措施（2分）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工期承诺满足招标文件要求，工期保证措施合理且有针对性，有具体的违约责任承诺。</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工期承诺满足招标文件要求，工期保证措施基本合理，有具体的违约责任承诺。</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拟投入资源配备计划</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（2分）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1.机械：投入计划与进度计划呼应，采用先进机械设备且配置合理、先进，满足安全技术规范和施工进度需要；运输、安装设备满足施工要求；</w:t>
            </w:r>
          </w:p>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2.劳动力：投入计划与进度计划呼应，较好满足施工需要，调配投入计划合理、准确；</w:t>
            </w:r>
          </w:p>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3.主要物资计划：主要物资投入计划与进度计划呼应，较好满足施工需要，调配投入计划合理、准确。</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1.机械：投入计划与进度计划呼应，机械设备配置基本合理，满足安全技术规范和施工进度需要；</w:t>
            </w:r>
          </w:p>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2.劳动力：投入计划与进度计划呼应，基本满足施工需要，调配投入计划基本合理；</w:t>
            </w:r>
          </w:p>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3.主要物资计划：主要物资投入计划与进度计划呼应，基本满足施工需要，调配投入计划基本合理。</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施工进度表与网络计划图（2分）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关键线路清晰、准确、完整、计划编制合理、可行、满足招标文件对工期的要求。</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关键线路基本准确，计划编制基本可行。</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施工总平面图布置（1分）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总体布置有针对性、合理、能较好满足施工需要，符合安全、文明施工要求；材料堆放有序。</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总体布置基本合理、基本满足施工需要。</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保证学校正常工作生活用电需求的施工措施</w:t>
            </w:r>
            <w:r>
              <w:rPr>
                <w:rFonts w:hint="eastAsia" w:ascii="仿宋" w:hAnsi="仿宋" w:eastAsia="仿宋" w:cs="仿宋"/>
                <w:color w:val="auto"/>
                <w:highlight w:val="none"/>
              </w:rPr>
              <w:t>（2分）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lang w:eastAsia="zh-CN"/>
              </w:rPr>
              <w:t>明确断电施工的次数和时间长度，以及影响正常供电的保障措施</w:t>
            </w:r>
            <w:r>
              <w:rPr>
                <w:rFonts w:hint="eastAsia" w:ascii="仿宋" w:hAnsi="仿宋" w:eastAsia="仿宋" w:cs="仿宋"/>
                <w:color w:val="auto"/>
                <w:highlight w:val="none"/>
              </w:rPr>
              <w:t>，具有针对性、可行性、适用性。</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lang w:eastAsia="zh-CN"/>
              </w:rPr>
              <w:t>明确断电施工的次数和时间长度，以及影响正常供电的保障措施</w:t>
            </w:r>
            <w:r>
              <w:rPr>
                <w:rFonts w:hint="eastAsia" w:ascii="仿宋" w:hAnsi="仿宋" w:eastAsia="仿宋" w:cs="仿宋"/>
                <w:color w:val="auto"/>
                <w:highlight w:val="none"/>
              </w:rPr>
              <w:t>基本符合工程情况，具有针对性。</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疫情防控措施（2分）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lang w:eastAsia="zh-CN"/>
              </w:rPr>
              <w:t>施工过程中的疫情防控措施</w:t>
            </w:r>
            <w:r>
              <w:rPr>
                <w:rFonts w:hint="eastAsia" w:ascii="仿宋" w:hAnsi="仿宋" w:eastAsia="仿宋" w:cs="仿宋"/>
                <w:color w:val="auto"/>
                <w:highlight w:val="none"/>
              </w:rPr>
              <w:t>，符合</w:t>
            </w:r>
            <w:r>
              <w:rPr>
                <w:rFonts w:hint="eastAsia" w:ascii="仿宋" w:hAnsi="仿宋" w:eastAsia="仿宋" w:cs="仿宋"/>
                <w:color w:val="auto"/>
                <w:highlight w:val="none"/>
                <w:lang w:eastAsia="zh-CN"/>
              </w:rPr>
              <w:t>政府、学校要求和标准，提供明确的保障措施，</w:t>
            </w:r>
            <w:r>
              <w:rPr>
                <w:rFonts w:hint="eastAsia" w:ascii="仿宋" w:hAnsi="仿宋" w:eastAsia="仿宋" w:cs="仿宋"/>
                <w:color w:val="auto"/>
                <w:highlight w:val="none"/>
              </w:rPr>
              <w:t>具有针对性、可行性、</w:t>
            </w:r>
            <w:r>
              <w:rPr>
                <w:rFonts w:hint="eastAsia" w:ascii="仿宋" w:hAnsi="仿宋" w:eastAsia="仿宋" w:cs="仿宋"/>
                <w:color w:val="auto"/>
                <w:highlight w:val="none"/>
                <w:lang w:eastAsia="zh-CN"/>
              </w:rPr>
              <w:t>经济</w:t>
            </w:r>
            <w:r>
              <w:rPr>
                <w:rFonts w:hint="eastAsia" w:ascii="仿宋" w:hAnsi="仿宋" w:eastAsia="仿宋" w:cs="仿宋"/>
                <w:color w:val="auto"/>
                <w:highlight w:val="none"/>
              </w:rPr>
              <w:t>适用性。</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施工过程中的疫情防控措施</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基本</w:t>
            </w:r>
            <w:r>
              <w:rPr>
                <w:rFonts w:hint="eastAsia" w:ascii="仿宋" w:hAnsi="仿宋" w:eastAsia="仿宋" w:cs="仿宋"/>
                <w:color w:val="auto"/>
                <w:highlight w:val="none"/>
              </w:rPr>
              <w:t>符合</w:t>
            </w:r>
            <w:r>
              <w:rPr>
                <w:rFonts w:hint="eastAsia" w:ascii="仿宋" w:hAnsi="仿宋" w:eastAsia="仿宋" w:cs="仿宋"/>
                <w:color w:val="auto"/>
                <w:highlight w:val="none"/>
                <w:lang w:eastAsia="zh-CN"/>
              </w:rPr>
              <w:t>政府、学校要求和标准，提供保障措施，</w:t>
            </w:r>
            <w:r>
              <w:rPr>
                <w:rFonts w:hint="eastAsia" w:ascii="仿宋" w:hAnsi="仿宋" w:eastAsia="仿宋" w:cs="仿宋"/>
                <w:color w:val="auto"/>
                <w:highlight w:val="none"/>
              </w:rPr>
              <w:t>具有</w:t>
            </w:r>
            <w:r>
              <w:rPr>
                <w:rFonts w:hint="eastAsia" w:ascii="仿宋" w:hAnsi="仿宋" w:eastAsia="仿宋" w:cs="仿宋"/>
                <w:color w:val="auto"/>
                <w:highlight w:val="none"/>
                <w:lang w:eastAsia="zh-CN"/>
              </w:rPr>
              <w:t>一定</w:t>
            </w:r>
            <w:r>
              <w:rPr>
                <w:rFonts w:hint="eastAsia" w:ascii="仿宋" w:hAnsi="仿宋" w:eastAsia="仿宋" w:cs="仿宋"/>
                <w:color w:val="auto"/>
                <w:highlight w:val="none"/>
              </w:rPr>
              <w:t>针对性</w:t>
            </w:r>
            <w:r>
              <w:rPr>
                <w:rFonts w:hint="eastAsia" w:ascii="仿宋" w:hAnsi="仿宋" w:eastAsia="仿宋" w:cs="仿宋"/>
                <w:color w:val="auto"/>
                <w:highlight w:val="none"/>
                <w:lang w:eastAsia="zh-CN"/>
              </w:rPr>
              <w:t>。</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承诺对学校未改造用电线路和设施的排查和资料整理程度（1.5分）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lang w:eastAsia="zh-CN"/>
              </w:rPr>
              <w:t>排查全面，准确，能够免费提供园区三维可视化电力系统的得</w:t>
            </w:r>
            <w:r>
              <w:rPr>
                <w:rFonts w:hint="eastAsia" w:ascii="仿宋" w:hAnsi="仿宋" w:eastAsia="仿宋" w:cs="仿宋"/>
                <w:color w:val="auto"/>
                <w:highlight w:val="none"/>
                <w:lang w:val="en-US" w:eastAsia="zh-CN"/>
              </w:rPr>
              <w:t>1.5分</w:t>
            </w:r>
            <w:r>
              <w:rPr>
                <w:rFonts w:hint="eastAsia" w:ascii="仿宋" w:hAnsi="仿宋" w:eastAsia="仿宋" w:cs="仿宋"/>
                <w:color w:val="auto"/>
                <w:highlight w:val="none"/>
                <w:lang w:eastAsia="zh-CN"/>
              </w:rPr>
              <w:t>。</w:t>
            </w:r>
          </w:p>
        </w:tc>
        <w:tc>
          <w:tcPr>
            <w:tcW w:w="1795" w:type="dxa"/>
            <w:noWrap w:val="0"/>
            <w:vAlign w:val="center"/>
          </w:tcPr>
          <w:p>
            <w:pPr>
              <w:snapToGrid w:val="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1.5</w:t>
            </w:r>
            <w:r>
              <w:rPr>
                <w:rFonts w:hint="eastAsia" w:ascii="仿宋" w:hAnsi="仿宋" w:eastAsia="仿宋" w:cs="仿宋"/>
                <w:color w:val="auto"/>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lang w:eastAsia="zh-CN"/>
              </w:rPr>
              <w:t>排查基本全面，准确，不能提供园区三维可视化电力系统的</w:t>
            </w:r>
          </w:p>
        </w:tc>
        <w:tc>
          <w:tcPr>
            <w:tcW w:w="1795" w:type="dxa"/>
            <w:noWrap w:val="0"/>
            <w:vAlign w:val="center"/>
          </w:tcPr>
          <w:p>
            <w:pPr>
              <w:snapToGrid w:val="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0.5</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风险管理措施（2分）</w:t>
            </w:r>
          </w:p>
        </w:tc>
        <w:tc>
          <w:tcPr>
            <w:tcW w:w="4274" w:type="dxa"/>
            <w:gridSpan w:val="3"/>
            <w:noWrap w:val="0"/>
            <w:vAlign w:val="center"/>
          </w:tcPr>
          <w:p>
            <w:pPr>
              <w:snapToGrid w:val="0"/>
              <w:ind w:left="120" w:leftChars="0"/>
              <w:rPr>
                <w:rFonts w:hint="eastAsia" w:ascii="仿宋" w:hAnsi="仿宋" w:eastAsia="仿宋" w:cs="仿宋"/>
                <w:color w:val="auto"/>
                <w:highlight w:val="none"/>
              </w:rPr>
            </w:pPr>
            <w:r>
              <w:rPr>
                <w:rFonts w:hint="eastAsia" w:ascii="仿宋" w:hAnsi="仿宋" w:eastAsia="仿宋" w:cs="仿宋"/>
                <w:color w:val="auto"/>
                <w:highlight w:val="none"/>
              </w:rPr>
              <w:t>风险防控管理措施齐全，风险预控符合规范要求，风险控制要点定位准确，各阶段风险控制及应急措施得力。</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leftChars="0"/>
              <w:rPr>
                <w:rFonts w:hint="eastAsia" w:ascii="仿宋" w:hAnsi="仿宋" w:eastAsia="仿宋" w:cs="仿宋"/>
                <w:color w:val="auto"/>
                <w:highlight w:val="none"/>
              </w:rPr>
            </w:pPr>
            <w:r>
              <w:rPr>
                <w:rFonts w:hint="eastAsia" w:ascii="仿宋" w:hAnsi="仿宋" w:eastAsia="仿宋" w:cs="仿宋"/>
                <w:color w:val="auto"/>
                <w:highlight w:val="none"/>
              </w:rPr>
              <w:t>风险防控管理措施基本齐全，风险预控符合规范要求，风险控制要点定位基本准确，有各阶段风险控制及应急措施。</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leftChars="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leftChars="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noWrap w:val="0"/>
            <w:vAlign w:val="center"/>
          </w:tcPr>
          <w:p>
            <w:pPr>
              <w:snapToGrid w:val="0"/>
              <w:ind w:left="12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设备评价</w:t>
            </w:r>
          </w:p>
          <w:p>
            <w:pPr>
              <w:snapToGrid w:val="0"/>
              <w:ind w:left="120" w:leftChars="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lang w:val="en-US" w:eastAsia="zh-CN"/>
              </w:rPr>
              <w:t>（5分）</w:t>
            </w:r>
          </w:p>
        </w:tc>
        <w:tc>
          <w:tcPr>
            <w:tcW w:w="4274" w:type="dxa"/>
            <w:gridSpan w:val="3"/>
            <w:noWrap w:val="0"/>
            <w:vAlign w:val="center"/>
          </w:tcPr>
          <w:p>
            <w:pPr>
              <w:pStyle w:val="9"/>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根据所投报的主要设备（变压器、高低压断路器、微机综合继电保护装置、高低压电力电缆）从品牌知名度、市场占有率、口碑、先进性、可靠稳定性等评审因素进行综合评议，分三档打分。</w:t>
            </w:r>
          </w:p>
          <w:p>
            <w:pPr>
              <w:spacing w:line="400" w:lineRule="exact"/>
              <w:rPr>
                <w:rFonts w:hint="default"/>
                <w:color w:val="auto"/>
                <w:highlight w:val="none"/>
                <w:lang w:val="en-US" w:eastAsia="zh-CN"/>
              </w:rPr>
            </w:pPr>
            <w:r>
              <w:rPr>
                <w:rFonts w:hint="eastAsia" w:ascii="仿宋" w:hAnsi="仿宋" w:eastAsia="仿宋" w:cs="仿宋"/>
                <w:color w:val="auto"/>
                <w:highlight w:val="none"/>
                <w:lang w:val="en-US" w:eastAsia="zh-CN"/>
              </w:rPr>
              <w:t>3＜第一档≤5分；2＜第二档≤3分，0≤第三档≤2分，共5分。</w:t>
            </w:r>
          </w:p>
        </w:tc>
        <w:tc>
          <w:tcPr>
            <w:tcW w:w="1795" w:type="dxa"/>
            <w:noWrap w:val="0"/>
            <w:vAlign w:val="center"/>
          </w:tcPr>
          <w:p>
            <w:pPr>
              <w:snapToGrid w:val="0"/>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highlight w:val="none"/>
              </w:rPr>
              <w:t>0≤得分≤</w:t>
            </w:r>
            <w:r>
              <w:rPr>
                <w:rFonts w:hint="eastAsia" w:ascii="仿宋" w:hAnsi="仿宋" w:eastAsia="仿宋" w:cs="仿宋"/>
                <w:color w:val="auto"/>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42" w:type="dxa"/>
            <w:gridSpan w:val="3"/>
            <w:vMerge w:val="restart"/>
            <w:noWrap w:val="0"/>
            <w:vAlign w:val="center"/>
          </w:tcPr>
          <w:p>
            <w:pPr>
              <w:snapToGrid w:val="0"/>
              <w:spacing w:line="360" w:lineRule="auto"/>
              <w:ind w:left="120"/>
              <w:rPr>
                <w:rFonts w:hint="eastAsia" w:ascii="仿宋" w:hAnsi="仿宋" w:eastAsia="仿宋" w:cs="仿宋"/>
                <w:color w:val="auto"/>
                <w:highlight w:val="none"/>
                <w:lang w:eastAsia="zh-CN"/>
              </w:rPr>
            </w:pPr>
            <w:r>
              <w:rPr>
                <w:rFonts w:hint="eastAsia" w:ascii="仿宋" w:hAnsi="仿宋" w:eastAsia="仿宋" w:cs="仿宋"/>
                <w:color w:val="auto"/>
                <w:highlight w:val="none"/>
              </w:rPr>
              <w:t>2.2.4(</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w:t>
            </w:r>
          </w:p>
        </w:tc>
        <w:tc>
          <w:tcPr>
            <w:tcW w:w="701"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综</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合</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标</w:t>
            </w:r>
          </w:p>
          <w:p>
            <w:pPr>
              <w:keepNext w:val="0"/>
              <w:keepLines w:val="0"/>
              <w:pageBreakBefore w:val="0"/>
              <w:widowControl/>
              <w:kinsoku/>
              <w:wordWrap/>
              <w:overflowPunct/>
              <w:topLinePunct w:val="0"/>
              <w:autoSpaceDE/>
              <w:autoSpaceDN/>
              <w:bidi w:val="0"/>
              <w:adjustRightInd/>
              <w:snapToGrid w:val="0"/>
              <w:spacing w:line="360" w:lineRule="auto"/>
              <w:ind w:left="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分</w:t>
            </w:r>
          </w:p>
          <w:p>
            <w:pPr>
              <w:pStyle w:val="22"/>
              <w:rPr>
                <w:rFonts w:hint="eastAsia"/>
                <w:color w:val="auto"/>
                <w:highlight w:val="none"/>
              </w:rPr>
            </w:pPr>
          </w:p>
        </w:tc>
        <w:tc>
          <w:tcPr>
            <w:tcW w:w="1807"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企业业绩</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jc w:val="both"/>
              <w:textAlignment w:val="auto"/>
              <w:rPr>
                <w:rFonts w:hint="eastAsia" w:eastAsia="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企业</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rPr>
              <w:t>、项目经理业绩不能重复</w:t>
            </w:r>
            <w:r>
              <w:rPr>
                <w:rFonts w:hint="eastAsia" w:ascii="仿宋" w:hAnsi="仿宋" w:eastAsia="仿宋" w:cs="仿宋"/>
                <w:color w:val="auto"/>
                <w:highlight w:val="none"/>
                <w:lang w:eastAsia="zh-CN"/>
              </w:rPr>
              <w:t>）</w:t>
            </w:r>
          </w:p>
          <w:p>
            <w:pPr>
              <w:pStyle w:val="2"/>
              <w:rPr>
                <w:rFonts w:hint="eastAsia"/>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投标人提供</w:t>
            </w:r>
            <w:r>
              <w:rPr>
                <w:rFonts w:hint="eastAsia" w:ascii="仿宋_GB2312" w:hAnsi="仿宋_GB2312" w:eastAsia="仿宋_GB2312"/>
                <w:color w:val="auto"/>
                <w:highlight w:val="none"/>
                <w:shd w:val="clear" w:color="000000" w:fill="auto"/>
              </w:rPr>
              <w:t>2017年</w:t>
            </w:r>
            <w:r>
              <w:rPr>
                <w:rFonts w:hint="eastAsia" w:ascii="仿宋_GB2312" w:hAnsi="仿宋_GB2312" w:eastAsia="仿宋_GB2312"/>
                <w:color w:val="auto"/>
                <w:highlight w:val="none"/>
                <w:shd w:val="clear" w:color="000000" w:fill="auto"/>
                <w:lang w:val="en-US" w:eastAsia="zh-CN"/>
              </w:rPr>
              <w:t>7</w:t>
            </w:r>
            <w:r>
              <w:rPr>
                <w:rFonts w:hint="eastAsia" w:ascii="仿宋_GB2312" w:hAnsi="仿宋_GB2312" w:eastAsia="仿宋_GB2312"/>
                <w:color w:val="auto"/>
                <w:highlight w:val="none"/>
                <w:shd w:val="clear" w:color="000000" w:fill="auto"/>
              </w:rPr>
              <w:t>月1日（以合同签订时间为准）</w:t>
            </w:r>
            <w:r>
              <w:rPr>
                <w:rFonts w:hint="eastAsia" w:ascii="仿宋" w:hAnsi="仿宋" w:eastAsia="仿宋" w:cs="仿宋"/>
                <w:color w:val="auto"/>
                <w:highlight w:val="none"/>
              </w:rPr>
              <w:t>以来</w:t>
            </w:r>
            <w:r>
              <w:rPr>
                <w:rFonts w:hint="eastAsia" w:ascii="仿宋_GB2312" w:hAnsi="仿宋_GB2312" w:eastAsia="仿宋_GB2312"/>
                <w:color w:val="auto"/>
                <w:highlight w:val="none"/>
                <w:shd w:val="clear" w:color="000000" w:fill="auto"/>
              </w:rPr>
              <w:t>完成过单项合同金额不小于</w:t>
            </w:r>
            <w:r>
              <w:rPr>
                <w:rFonts w:hint="eastAsia" w:ascii="仿宋_GB2312" w:hAnsi="仿宋_GB2312" w:eastAsia="仿宋_GB2312"/>
                <w:color w:val="auto"/>
                <w:highlight w:val="none"/>
                <w:shd w:val="clear" w:color="000000" w:fill="auto"/>
                <w:lang w:val="en-US" w:eastAsia="zh-CN"/>
              </w:rPr>
              <w:t>1000万元人民币的供配电工程施工</w:t>
            </w:r>
            <w:r>
              <w:rPr>
                <w:rFonts w:hint="eastAsia" w:ascii="仿宋_GB2312" w:hAnsi="仿宋_GB2312" w:eastAsia="仿宋_GB2312"/>
                <w:color w:val="auto"/>
                <w:highlight w:val="none"/>
                <w:shd w:val="clear" w:color="000000" w:fill="auto"/>
              </w:rPr>
              <w:t>业绩，提供中标通知书、网上中标公示（截图）、合同和竣工验收报告</w:t>
            </w:r>
            <w:r>
              <w:rPr>
                <w:rFonts w:hint="eastAsia" w:ascii="仿宋" w:hAnsi="仿宋" w:eastAsia="仿宋" w:cs="仿宋"/>
                <w:color w:val="auto"/>
                <w:highlight w:val="none"/>
              </w:rPr>
              <w:t>证明材料复印件，每提供一份齐全有效的得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分，最高得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分。不提供或未按要求提供的不得分。</w:t>
            </w:r>
          </w:p>
        </w:tc>
        <w:tc>
          <w:tcPr>
            <w:tcW w:w="1795" w:type="dxa"/>
            <w:noWrap w:val="0"/>
            <w:vAlign w:val="center"/>
          </w:tcPr>
          <w:p>
            <w:pPr>
              <w:snapToGrid w:val="0"/>
              <w:ind w:left="120"/>
              <w:rPr>
                <w:rFonts w:hint="eastAsia" w:ascii="仿宋" w:hAnsi="仿宋" w:eastAsia="仿宋" w:cs="仿宋"/>
                <w:color w:val="auto"/>
                <w:highlight w:val="none"/>
                <w:lang w:eastAsia="zh-CN"/>
              </w:rPr>
            </w:pPr>
            <w:r>
              <w:rPr>
                <w:rFonts w:hint="eastAsia" w:ascii="仿宋" w:hAnsi="仿宋" w:eastAsia="仿宋" w:cs="仿宋"/>
                <w:color w:val="auto"/>
                <w:highlight w:val="none"/>
              </w:rPr>
              <w:t>0≤得分≤</w:t>
            </w:r>
            <w:r>
              <w:rPr>
                <w:rFonts w:hint="eastAsia" w:ascii="仿宋" w:hAnsi="仿宋" w:eastAsia="仿宋" w:cs="仿宋"/>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noWrap w:val="0"/>
            <w:vAlign w:val="center"/>
          </w:tcPr>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rPr>
              <w:t>项目经理业绩（</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p>
            <w:pPr>
              <w:pStyle w:val="2"/>
              <w:keepNext w:val="0"/>
              <w:keepLines w:val="0"/>
              <w:pageBreakBefore w:val="0"/>
              <w:widowControl/>
              <w:kinsoku/>
              <w:wordWrap/>
              <w:overflowPunct/>
              <w:topLinePunct w:val="0"/>
              <w:autoSpaceDE/>
              <w:autoSpaceDN/>
              <w:bidi w:val="0"/>
              <w:adjustRightInd/>
              <w:snapToGrid/>
              <w:spacing w:after="0"/>
              <w:ind w:left="0" w:leftChars="0" w:firstLine="0" w:firstLineChars="0"/>
              <w:jc w:val="both"/>
              <w:textAlignment w:val="auto"/>
              <w:rPr>
                <w:rFonts w:hint="eastAsia" w:eastAsia="仿宋"/>
                <w:color w:val="auto"/>
                <w:highlight w:val="none"/>
                <w:lang w:eastAsia="zh-CN"/>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rPr>
              <w:t>企业</w:t>
            </w:r>
            <w:r>
              <w:rPr>
                <w:rFonts w:hint="eastAsia" w:ascii="仿宋" w:hAnsi="仿宋" w:eastAsia="仿宋" w:cs="仿宋"/>
                <w:color w:val="auto"/>
                <w:highlight w:val="none"/>
                <w:lang w:eastAsia="zh-CN"/>
              </w:rPr>
              <w:t>业绩</w:t>
            </w:r>
            <w:r>
              <w:rPr>
                <w:rFonts w:hint="eastAsia" w:ascii="仿宋" w:hAnsi="仿宋" w:eastAsia="仿宋" w:cs="仿宋"/>
                <w:color w:val="auto"/>
                <w:highlight w:val="none"/>
              </w:rPr>
              <w:t>、项目经理业绩不能重复</w:t>
            </w:r>
            <w:r>
              <w:rPr>
                <w:rFonts w:hint="eastAsia" w:ascii="仿宋" w:hAnsi="仿宋" w:eastAsia="仿宋" w:cs="仿宋"/>
                <w:color w:val="auto"/>
                <w:highlight w:val="none"/>
                <w:lang w:eastAsia="zh-CN"/>
              </w:rPr>
              <w:t>）</w:t>
            </w:r>
          </w:p>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_GB2312" w:hAnsi="仿宋_GB2312" w:eastAsia="仿宋_GB2312"/>
                <w:color w:val="auto"/>
                <w:highlight w:val="none"/>
                <w:shd w:val="clear" w:color="000000" w:fill="auto"/>
              </w:rPr>
              <w:t>2017年</w:t>
            </w:r>
            <w:r>
              <w:rPr>
                <w:rFonts w:hint="eastAsia" w:ascii="仿宋_GB2312" w:hAnsi="仿宋_GB2312" w:eastAsia="仿宋_GB2312"/>
                <w:color w:val="auto"/>
                <w:highlight w:val="none"/>
                <w:shd w:val="clear" w:color="000000" w:fill="auto"/>
                <w:lang w:val="en-US" w:eastAsia="zh-CN"/>
              </w:rPr>
              <w:t>7</w:t>
            </w:r>
            <w:r>
              <w:rPr>
                <w:rFonts w:hint="eastAsia" w:ascii="仿宋_GB2312" w:hAnsi="仿宋_GB2312" w:eastAsia="仿宋_GB2312"/>
                <w:color w:val="auto"/>
                <w:highlight w:val="none"/>
                <w:shd w:val="clear" w:color="000000" w:fill="auto"/>
              </w:rPr>
              <w:t>月1日（以合同签订时间为准）</w:t>
            </w:r>
            <w:r>
              <w:rPr>
                <w:rFonts w:hint="eastAsia" w:ascii="仿宋" w:hAnsi="仿宋" w:eastAsia="仿宋" w:cs="仿宋"/>
                <w:color w:val="auto"/>
                <w:highlight w:val="none"/>
              </w:rPr>
              <w:t>以来以项目经理的身份完成过的</w:t>
            </w:r>
            <w:r>
              <w:rPr>
                <w:rFonts w:hint="eastAsia" w:ascii="仿宋_GB2312" w:hAnsi="仿宋_GB2312" w:eastAsia="仿宋_GB2312"/>
                <w:color w:val="auto"/>
                <w:highlight w:val="none"/>
                <w:shd w:val="clear" w:color="000000" w:fill="auto"/>
              </w:rPr>
              <w:t>单项合同金额不小于</w:t>
            </w:r>
            <w:r>
              <w:rPr>
                <w:rFonts w:hint="eastAsia" w:ascii="仿宋_GB2312" w:hAnsi="仿宋_GB2312" w:eastAsia="仿宋_GB2312"/>
                <w:color w:val="auto"/>
                <w:highlight w:val="none"/>
                <w:shd w:val="clear" w:color="000000" w:fill="auto"/>
                <w:lang w:val="en-US" w:eastAsia="zh-CN"/>
              </w:rPr>
              <w:t>500</w:t>
            </w:r>
            <w:r>
              <w:rPr>
                <w:rFonts w:hint="eastAsia" w:ascii="仿宋_GB2312" w:hAnsi="仿宋_GB2312" w:eastAsia="仿宋_GB2312"/>
                <w:color w:val="auto"/>
                <w:highlight w:val="none"/>
                <w:shd w:val="clear" w:color="000000" w:fill="auto"/>
              </w:rPr>
              <w:t>万元人民币的供配电工程</w:t>
            </w:r>
            <w:r>
              <w:rPr>
                <w:rFonts w:hint="eastAsia" w:ascii="仿宋_GB2312" w:hAnsi="仿宋_GB2312" w:eastAsia="仿宋_GB2312"/>
                <w:color w:val="auto"/>
                <w:highlight w:val="none"/>
                <w:shd w:val="clear" w:color="000000" w:fill="auto"/>
                <w:lang w:eastAsia="zh-CN"/>
              </w:rPr>
              <w:t>施工</w:t>
            </w:r>
            <w:r>
              <w:rPr>
                <w:rFonts w:hint="eastAsia" w:ascii="仿宋_GB2312" w:hAnsi="仿宋_GB2312" w:eastAsia="仿宋_GB2312"/>
                <w:color w:val="auto"/>
                <w:highlight w:val="none"/>
                <w:shd w:val="clear" w:color="000000" w:fill="auto"/>
              </w:rPr>
              <w:t>业绩，提供中标通知书、网上中标公示（截图）、合同和竣工验收报告</w:t>
            </w:r>
            <w:r>
              <w:rPr>
                <w:rFonts w:hint="eastAsia" w:ascii="仿宋" w:hAnsi="仿宋" w:eastAsia="仿宋" w:cs="仿宋"/>
                <w:color w:val="auto"/>
                <w:highlight w:val="none"/>
              </w:rPr>
              <w:t>证明材料复印件，每提供一份得2分，最高得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分；不提供或未按要求提供或提供的合同、中标通知书、</w:t>
            </w:r>
            <w:r>
              <w:rPr>
                <w:rFonts w:hint="eastAsia" w:ascii="仿宋_GB2312" w:hAnsi="仿宋_GB2312" w:eastAsia="仿宋_GB2312"/>
                <w:color w:val="auto"/>
                <w:highlight w:val="none"/>
                <w:shd w:val="clear" w:color="000000" w:fill="auto"/>
              </w:rPr>
              <w:t>中标公示（截图）、</w:t>
            </w:r>
            <w:r>
              <w:rPr>
                <w:rFonts w:hint="eastAsia" w:ascii="仿宋" w:hAnsi="仿宋" w:eastAsia="仿宋" w:cs="仿宋"/>
                <w:color w:val="auto"/>
                <w:highlight w:val="none"/>
              </w:rPr>
              <w:t>验收证明中任何一项都不显示项目经理姓名的不得分。</w:t>
            </w:r>
          </w:p>
        </w:tc>
        <w:tc>
          <w:tcPr>
            <w:tcW w:w="1795" w:type="dxa"/>
            <w:noWrap w:val="0"/>
            <w:vAlign w:val="center"/>
          </w:tcPr>
          <w:p>
            <w:pPr>
              <w:snapToGrid w:val="0"/>
              <w:ind w:left="120"/>
              <w:rPr>
                <w:rFonts w:hint="eastAsia" w:ascii="仿宋" w:hAnsi="仿宋" w:eastAsia="仿宋" w:cs="仿宋"/>
                <w:color w:val="auto"/>
                <w:highlight w:val="none"/>
                <w:lang w:eastAsia="zh-CN"/>
              </w:rPr>
            </w:pPr>
            <w:r>
              <w:rPr>
                <w:rFonts w:hint="eastAsia" w:ascii="仿宋" w:hAnsi="仿宋" w:eastAsia="仿宋" w:cs="仿宋"/>
                <w:color w:val="auto"/>
                <w:highlight w:val="none"/>
              </w:rPr>
              <w:t>0≤得分≤</w:t>
            </w:r>
            <w:r>
              <w:rPr>
                <w:rFonts w:hint="eastAsia" w:ascii="仿宋" w:hAnsi="仿宋" w:eastAsia="仿宋" w:cs="仿宋"/>
                <w:color w:val="auto"/>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优惠承诺</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（4分）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优惠承诺应是书面的符合工程实际情况，确保依法依规，优惠合理，详实可行。</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优惠承诺符合工程实际情况，确保依法依规，优惠基本合理，基本详实可行。</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both"/>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restart"/>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履职尽责承诺（</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95" w:type="dxa"/>
            <w:noWrap w:val="0"/>
            <w:vAlign w:val="center"/>
          </w:tcPr>
          <w:p>
            <w:pPr>
              <w:snapToGrid w:val="0"/>
              <w:ind w:left="12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＜得分≤</w:t>
            </w:r>
            <w:r>
              <w:rPr>
                <w:rFonts w:hint="eastAsia" w:ascii="仿宋" w:hAnsi="仿宋" w:eastAsia="仿宋" w:cs="仿宋"/>
                <w:color w:val="auto"/>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795" w:type="dxa"/>
            <w:noWrap w:val="0"/>
            <w:vAlign w:val="center"/>
          </w:tcPr>
          <w:p>
            <w:pPr>
              <w:snapToGrid w:val="0"/>
              <w:ind w:left="12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＜得分≤</w:t>
            </w:r>
            <w:r>
              <w:rPr>
                <w:rFonts w:hint="eastAsia" w:ascii="仿宋" w:hAnsi="仿宋" w:eastAsia="仿宋" w:cs="仿宋"/>
                <w:color w:val="auto"/>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vMerge w:val="continue"/>
            <w:noWrap w:val="0"/>
            <w:vAlign w:val="center"/>
          </w:tcPr>
          <w:p>
            <w:pPr>
              <w:snapToGrid w:val="0"/>
              <w:ind w:left="120"/>
              <w:jc w:val="center"/>
              <w:rPr>
                <w:rFonts w:hint="eastAsia" w:ascii="仿宋" w:hAnsi="仿宋" w:eastAsia="仿宋" w:cs="仿宋"/>
                <w:color w:val="auto"/>
                <w:highlight w:val="none"/>
              </w:rPr>
            </w:pPr>
          </w:p>
        </w:tc>
        <w:tc>
          <w:tcPr>
            <w:tcW w:w="4274"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缺项</w:t>
            </w:r>
          </w:p>
        </w:tc>
        <w:tc>
          <w:tcPr>
            <w:tcW w:w="1795" w:type="dxa"/>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42" w:type="dxa"/>
            <w:gridSpan w:val="3"/>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center"/>
          </w:tcPr>
          <w:p>
            <w:pPr>
              <w:snapToGrid w:val="0"/>
              <w:spacing w:line="360" w:lineRule="auto"/>
              <w:ind w:left="120"/>
              <w:rPr>
                <w:rFonts w:hint="eastAsia" w:ascii="仿宋" w:hAnsi="仿宋" w:eastAsia="仿宋" w:cs="仿宋"/>
                <w:color w:val="auto"/>
                <w:highlight w:val="none"/>
              </w:rPr>
            </w:pPr>
          </w:p>
        </w:tc>
        <w:tc>
          <w:tcPr>
            <w:tcW w:w="1807"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企业信用</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(4分)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2017年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月1日（以奖项颁发时间为准）以来，投标企业承揽</w:t>
            </w:r>
            <w:r>
              <w:rPr>
                <w:rFonts w:hint="eastAsia" w:ascii="仿宋" w:hAnsi="仿宋" w:eastAsia="仿宋" w:cs="仿宋"/>
                <w:color w:val="auto"/>
                <w:highlight w:val="none"/>
                <w:lang w:eastAsia="zh-CN"/>
              </w:rPr>
              <w:t>电力工程</w:t>
            </w:r>
            <w:r>
              <w:rPr>
                <w:rFonts w:hint="eastAsia" w:ascii="仿宋" w:hAnsi="仿宋" w:eastAsia="仿宋" w:cs="仿宋"/>
                <w:color w:val="auto"/>
                <w:highlight w:val="none"/>
              </w:rPr>
              <w:t>项目获得省级及以上奖项的得2分，市级及以上奖项的得1分，可累计，最多得4分；或企业获得省级及以上先进/安全/质量企业的得2分，市级及以上先进/安全/质量企业的得1分，可累计，最多得4分。</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共4分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042" w:type="dxa"/>
            <w:gridSpan w:val="3"/>
            <w:vMerge w:val="continue"/>
            <w:noWrap w:val="0"/>
            <w:vAlign w:val="top"/>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top"/>
          </w:tcPr>
          <w:p>
            <w:pPr>
              <w:snapToGrid w:val="0"/>
              <w:spacing w:line="360" w:lineRule="auto"/>
              <w:ind w:left="120"/>
              <w:rPr>
                <w:rFonts w:hint="eastAsia" w:ascii="仿宋" w:hAnsi="仿宋" w:eastAsia="仿宋" w:cs="仿宋"/>
                <w:color w:val="auto"/>
                <w:highlight w:val="none"/>
              </w:rPr>
            </w:pPr>
          </w:p>
        </w:tc>
        <w:tc>
          <w:tcPr>
            <w:tcW w:w="1807" w:type="dxa"/>
            <w:gridSpan w:val="3"/>
            <w:noWrap w:val="0"/>
            <w:vAlign w:val="center"/>
          </w:tcPr>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项目经理信用</w:t>
            </w:r>
          </w:p>
          <w:p>
            <w:pPr>
              <w:snapToGrid w:val="0"/>
              <w:ind w:left="120"/>
              <w:jc w:val="center"/>
              <w:rPr>
                <w:rFonts w:hint="eastAsia"/>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4274" w:type="dxa"/>
            <w:gridSpan w:val="3"/>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2017年</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rPr>
              <w:t>月1日（以奖项颁发时间为准）以来，项目经理负责管理的</w:t>
            </w:r>
            <w:r>
              <w:rPr>
                <w:rFonts w:hint="eastAsia" w:ascii="仿宋" w:hAnsi="仿宋" w:eastAsia="仿宋" w:cs="仿宋"/>
                <w:color w:val="auto"/>
                <w:highlight w:val="none"/>
                <w:lang w:eastAsia="zh-CN"/>
              </w:rPr>
              <w:t>电力工程</w:t>
            </w:r>
            <w:r>
              <w:rPr>
                <w:rFonts w:hint="eastAsia" w:ascii="仿宋" w:hAnsi="仿宋" w:eastAsia="仿宋" w:cs="仿宋"/>
                <w:color w:val="auto"/>
                <w:highlight w:val="none"/>
              </w:rPr>
              <w:t>项目获得省级及以上奖项的得2分，市级及以上奖项的得1分，可累计，最多得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分；或项目经理获得省级及以上个人荣誉的得2分，市级及以上个人荣誉的得1分，可累计，最多得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c>
          <w:tcPr>
            <w:tcW w:w="1795" w:type="dxa"/>
            <w:noWrap w:val="0"/>
            <w:vAlign w:val="center"/>
          </w:tcPr>
          <w:p>
            <w:pPr>
              <w:snapToGrid w:val="0"/>
              <w:ind w:left="120"/>
              <w:rPr>
                <w:rFonts w:hint="eastAsia" w:ascii="仿宋" w:hAnsi="仿宋" w:eastAsia="仿宋" w:cs="仿宋"/>
                <w:color w:val="auto"/>
                <w:highlight w:val="none"/>
              </w:rPr>
            </w:pPr>
            <w:r>
              <w:rPr>
                <w:rFonts w:hint="eastAsia" w:ascii="仿宋" w:hAnsi="仿宋" w:eastAsia="仿宋" w:cs="仿宋"/>
                <w:color w:val="auto"/>
                <w:highlight w:val="none"/>
              </w:rPr>
              <w:t>共</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042" w:type="dxa"/>
            <w:gridSpan w:val="3"/>
            <w:vMerge w:val="continue"/>
            <w:noWrap w:val="0"/>
            <w:vAlign w:val="top"/>
          </w:tcPr>
          <w:p>
            <w:pPr>
              <w:snapToGrid w:val="0"/>
              <w:spacing w:line="360" w:lineRule="auto"/>
              <w:ind w:left="120"/>
              <w:rPr>
                <w:rFonts w:hint="eastAsia" w:ascii="仿宋" w:hAnsi="仿宋" w:eastAsia="仿宋" w:cs="仿宋"/>
                <w:color w:val="auto"/>
                <w:highlight w:val="none"/>
              </w:rPr>
            </w:pPr>
          </w:p>
        </w:tc>
        <w:tc>
          <w:tcPr>
            <w:tcW w:w="701" w:type="dxa"/>
            <w:vMerge w:val="continue"/>
            <w:noWrap w:val="0"/>
            <w:vAlign w:val="top"/>
          </w:tcPr>
          <w:p>
            <w:pPr>
              <w:snapToGrid w:val="0"/>
              <w:spacing w:line="360" w:lineRule="auto"/>
              <w:ind w:left="120"/>
              <w:rPr>
                <w:rFonts w:hint="eastAsia" w:ascii="仿宋" w:hAnsi="仿宋" w:eastAsia="仿宋" w:cs="仿宋"/>
                <w:color w:val="auto"/>
                <w:highlight w:val="none"/>
              </w:rPr>
            </w:pPr>
          </w:p>
        </w:tc>
        <w:tc>
          <w:tcPr>
            <w:tcW w:w="1807" w:type="dxa"/>
            <w:gridSpan w:val="3"/>
            <w:noWrap w:val="0"/>
            <w:vAlign w:val="center"/>
          </w:tcPr>
          <w:p>
            <w:pPr>
              <w:snapToGrid w:val="0"/>
              <w:ind w:firstLine="240" w:firstLineChars="100"/>
              <w:jc w:val="center"/>
              <w:rPr>
                <w:rFonts w:hint="eastAsia" w:ascii="仿宋" w:hAnsi="仿宋" w:eastAsia="仿宋" w:cs="仿宋"/>
                <w:color w:val="auto"/>
                <w:highlight w:val="none"/>
              </w:rPr>
            </w:pPr>
            <w:r>
              <w:rPr>
                <w:rFonts w:hint="eastAsia" w:ascii="仿宋" w:hAnsi="仿宋" w:eastAsia="仿宋" w:cs="仿宋"/>
                <w:color w:val="auto"/>
                <w:highlight w:val="none"/>
              </w:rPr>
              <w:t>综合评价</w:t>
            </w:r>
          </w:p>
          <w:p>
            <w:pPr>
              <w:snapToGrid w:val="0"/>
              <w:ind w:left="120"/>
              <w:jc w:val="center"/>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分）</w:t>
            </w:r>
          </w:p>
        </w:tc>
        <w:tc>
          <w:tcPr>
            <w:tcW w:w="4274" w:type="dxa"/>
            <w:gridSpan w:val="3"/>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rPr>
              <w:t>根据投标人编制的投标文件完整性及响应招标文件的情况进行综合评价。</w:t>
            </w:r>
          </w:p>
        </w:tc>
        <w:tc>
          <w:tcPr>
            <w:tcW w:w="1795" w:type="dxa"/>
            <w:noWrap w:val="0"/>
            <w:vAlign w:val="center"/>
          </w:tcPr>
          <w:p>
            <w:pPr>
              <w:snapToGrid w:val="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≤得分≤</w:t>
            </w:r>
            <w:r>
              <w:rPr>
                <w:rFonts w:hint="eastAsia" w:ascii="仿宋" w:hAnsi="仿宋" w:eastAsia="仿宋" w:cs="仿宋"/>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19" w:type="dxa"/>
            <w:gridSpan w:val="11"/>
            <w:noWrap w:val="0"/>
            <w:vAlign w:val="top"/>
          </w:tcPr>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1、以上各项缺项的，此项得零分；</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2、报价得分按四舍五入保留两位小数；</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3、评委进行独立打分，每位评委打分=∑各项评审方面得分；</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4、计算投标人最终得分时，该投标人最终得分=评委打分去的算数平均值；</w:t>
            </w:r>
          </w:p>
          <w:p>
            <w:pPr>
              <w:snapToGrid w:val="0"/>
              <w:spacing w:line="360" w:lineRule="auto"/>
              <w:ind w:left="120"/>
              <w:rPr>
                <w:rFonts w:hint="eastAsia" w:ascii="仿宋" w:hAnsi="仿宋" w:eastAsia="仿宋" w:cs="仿宋"/>
                <w:color w:val="auto"/>
                <w:highlight w:val="none"/>
              </w:rPr>
            </w:pPr>
            <w:r>
              <w:rPr>
                <w:rFonts w:hint="eastAsia" w:ascii="仿宋" w:hAnsi="仿宋" w:eastAsia="仿宋" w:cs="仿宋"/>
                <w:color w:val="auto"/>
                <w:highlight w:val="none"/>
              </w:rPr>
              <w:t>5、在评标过程中，凡遇到招标文件中无界定或界定不清、前后不一致使评委会成员意见有分歧且又难以协商一致的问题，均由评委会予以表决，获半数以上同意的即为通过，未获半数同意的即为否决。</w:t>
            </w:r>
          </w:p>
        </w:tc>
      </w:tr>
    </w:tbl>
    <w:p>
      <w:pPr>
        <w:snapToGrid w:val="0"/>
        <w:spacing w:line="360" w:lineRule="auto"/>
        <w:ind w:left="120"/>
        <w:outlineLvl w:val="9"/>
        <w:rPr>
          <w:rFonts w:hint="eastAsia" w:ascii="仿宋_GB2312" w:hAnsi="仿宋_GB2312" w:eastAsia="仿宋_GB2312"/>
          <w:color w:val="auto"/>
          <w:highlight w:val="none"/>
        </w:rPr>
      </w:pPr>
    </w:p>
    <w:p>
      <w:pPr>
        <w:pStyle w:val="2"/>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pStyle w:val="5"/>
        <w:rPr>
          <w:rFonts w:hint="eastAsia"/>
          <w:color w:val="auto"/>
          <w:highlight w:val="none"/>
        </w:rPr>
      </w:pPr>
    </w:p>
    <w:p>
      <w:pPr>
        <w:snapToGrid w:val="0"/>
        <w:spacing w:line="360" w:lineRule="auto"/>
        <w:ind w:left="120"/>
        <w:outlineLvl w:val="1"/>
        <w:rPr>
          <w:rFonts w:hint="eastAsia" w:ascii="仿宋_GB2312" w:hAnsi="仿宋_GB2312" w:eastAsia="仿宋_GB2312"/>
          <w:color w:val="auto"/>
          <w:highlight w:val="none"/>
        </w:rPr>
      </w:pPr>
      <w:bookmarkStart w:id="24" w:name="_Toc704"/>
      <w:r>
        <w:rPr>
          <w:rFonts w:hint="eastAsia" w:ascii="仿宋_GB2312" w:hAnsi="仿宋_GB2312" w:eastAsia="仿宋_GB2312"/>
          <w:color w:val="auto"/>
          <w:highlight w:val="none"/>
        </w:rPr>
        <w:t>1、评标方法</w:t>
      </w:r>
      <w:bookmarkEnd w:id="24"/>
    </w:p>
    <w:p>
      <w:pPr>
        <w:snapToGrid w:val="0"/>
        <w:spacing w:line="360" w:lineRule="auto"/>
        <w:ind w:left="120"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总报价低的优先；投标总报价也相等的，由招标人自行确定。</w:t>
      </w:r>
    </w:p>
    <w:p>
      <w:pPr>
        <w:snapToGrid w:val="0"/>
        <w:spacing w:line="360" w:lineRule="auto"/>
        <w:ind w:left="120"/>
        <w:outlineLvl w:val="1"/>
        <w:rPr>
          <w:rFonts w:hint="eastAsia" w:ascii="仿宋_GB2312" w:hAnsi="仿宋_GB2312" w:eastAsia="仿宋_GB2312"/>
          <w:color w:val="auto"/>
          <w:highlight w:val="none"/>
        </w:rPr>
      </w:pPr>
      <w:bookmarkStart w:id="25" w:name="_Toc9647"/>
      <w:r>
        <w:rPr>
          <w:rFonts w:hint="eastAsia" w:ascii="仿宋_GB2312" w:hAnsi="仿宋_GB2312" w:eastAsia="仿宋_GB2312"/>
          <w:color w:val="auto"/>
          <w:highlight w:val="none"/>
        </w:rPr>
        <w:t>2、评审标准</w:t>
      </w:r>
      <w:bookmarkEnd w:id="25"/>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2.1 初步评审标准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2.1.1 形式评审标准：见评标办法前附表。</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2.1.2 资格评审标准：见评标办法前附表。</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2.1.3 响应性评审标准：见评标办法前附表。</w:t>
      </w:r>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2.2 分值构成与评分标准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2.2.1 分值构成</w:t>
      </w:r>
    </w:p>
    <w:p>
      <w:pPr>
        <w:keepNext w:val="0"/>
        <w:keepLines w:val="0"/>
        <w:pageBreakBefore w:val="0"/>
        <w:widowControl/>
        <w:kinsoku/>
        <w:wordWrap/>
        <w:overflowPunct/>
        <w:topLinePunct w:val="0"/>
        <w:autoSpaceDE/>
        <w:autoSpaceDN/>
        <w:bidi w:val="0"/>
        <w:adjustRightInd/>
        <w:snapToGrid w:val="0"/>
        <w:spacing w:line="360" w:lineRule="auto"/>
        <w:ind w:left="240" w:leftChars="100"/>
        <w:textAlignment w:val="auto"/>
        <w:rPr>
          <w:rFonts w:hint="eastAsia" w:ascii="仿宋_GB2312" w:hAnsi="仿宋_GB2312" w:eastAsia="仿宋_GB2312"/>
          <w:color w:val="auto"/>
          <w:highlight w:val="none"/>
        </w:rPr>
      </w:pPr>
      <w:r>
        <w:rPr>
          <w:rFonts w:hint="eastAsia" w:ascii="仿宋_GB2312" w:hAnsi="仿宋_GB2312" w:eastAsia="仿宋_GB2312"/>
          <w:color w:val="auto"/>
          <w:highlight w:val="none"/>
        </w:rPr>
        <w:t>(l）商务标：见评标办法前附表；</w:t>
      </w:r>
    </w:p>
    <w:p>
      <w:pPr>
        <w:keepNext w:val="0"/>
        <w:keepLines w:val="0"/>
        <w:pageBreakBefore w:val="0"/>
        <w:widowControl/>
        <w:kinsoku/>
        <w:wordWrap/>
        <w:overflowPunct/>
        <w:topLinePunct w:val="0"/>
        <w:autoSpaceDE/>
        <w:autoSpaceDN/>
        <w:bidi w:val="0"/>
        <w:adjustRightInd/>
        <w:snapToGrid w:val="0"/>
        <w:spacing w:line="360" w:lineRule="auto"/>
        <w:ind w:left="240" w:leftChars="100"/>
        <w:textAlignment w:val="auto"/>
        <w:rPr>
          <w:rFonts w:hint="eastAsia" w:ascii="仿宋_GB2312" w:hAnsi="仿宋_GB2312" w:eastAsia="仿宋_GB2312"/>
          <w:color w:val="auto"/>
          <w:highlight w:val="none"/>
        </w:rPr>
      </w:pPr>
      <w:r>
        <w:rPr>
          <w:rFonts w:hint="eastAsia" w:ascii="仿宋_GB2312" w:hAnsi="仿宋_GB2312" w:eastAsia="仿宋_GB2312"/>
          <w:color w:val="auto"/>
          <w:highlight w:val="none"/>
        </w:rPr>
        <w:t>(2）技术标</w:t>
      </w:r>
      <w:r>
        <w:rPr>
          <w:rFonts w:hint="eastAsia" w:ascii="仿宋_GB2312" w:hAnsi="仿宋_GB2312" w:eastAsia="仿宋_GB2312"/>
          <w:color w:val="auto"/>
          <w:highlight w:val="none"/>
          <w:lang w:eastAsia="zh-CN"/>
        </w:rPr>
        <w:t>（含</w:t>
      </w:r>
      <w:r>
        <w:rPr>
          <w:rFonts w:hint="eastAsia" w:ascii="仿宋_GB2312" w:hAnsi="仿宋_GB2312" w:eastAsia="仿宋_GB2312"/>
          <w:color w:val="auto"/>
          <w:highlight w:val="none"/>
          <w:lang w:val="en-US" w:eastAsia="zh-CN"/>
        </w:rPr>
        <w:t>技术参数</w:t>
      </w:r>
      <w:r>
        <w:rPr>
          <w:rFonts w:hint="eastAsia" w:ascii="仿宋_GB2312" w:hAnsi="仿宋_GB2312" w:eastAsia="仿宋_GB2312"/>
          <w:color w:val="auto"/>
          <w:highlight w:val="none"/>
          <w:lang w:eastAsia="zh-CN"/>
        </w:rPr>
        <w:t>）</w:t>
      </w:r>
      <w:r>
        <w:rPr>
          <w:rFonts w:hint="eastAsia" w:ascii="仿宋_GB2312" w:hAnsi="仿宋_GB2312" w:eastAsia="仿宋_GB2312"/>
          <w:color w:val="auto"/>
          <w:highlight w:val="none"/>
        </w:rPr>
        <w:t>：见评标办法前附表；</w:t>
      </w:r>
    </w:p>
    <w:p>
      <w:pPr>
        <w:keepNext w:val="0"/>
        <w:keepLines w:val="0"/>
        <w:pageBreakBefore w:val="0"/>
        <w:widowControl/>
        <w:kinsoku/>
        <w:wordWrap/>
        <w:overflowPunct/>
        <w:topLinePunct w:val="0"/>
        <w:autoSpaceDE/>
        <w:autoSpaceDN/>
        <w:bidi w:val="0"/>
        <w:adjustRightInd/>
        <w:snapToGrid w:val="0"/>
        <w:spacing w:line="360" w:lineRule="auto"/>
        <w:ind w:left="240" w:leftChars="100"/>
        <w:textAlignment w:val="auto"/>
        <w:rPr>
          <w:rFonts w:hint="eastAsia" w:ascii="仿宋_GB2312" w:hAnsi="仿宋_GB2312" w:eastAsia="仿宋_GB2312"/>
          <w:color w:val="auto"/>
          <w:highlight w:val="none"/>
          <w:lang w:val="en-US" w:eastAsia="zh-CN"/>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3</w:t>
      </w:r>
      <w:r>
        <w:rPr>
          <w:rFonts w:hint="eastAsia" w:ascii="仿宋_GB2312" w:hAnsi="仿宋_GB2312" w:eastAsia="仿宋_GB2312"/>
          <w:color w:val="auto"/>
          <w:highlight w:val="none"/>
        </w:rPr>
        <w:t>）综合标：见评标办法前附表。</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2.2.2 评标基准价计算</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评标基准价计算方法：见评标办法前附表。</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2.2.3 评标报价的偏差率计算</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评标报价的偏差率计算公式：见评标办法前附表。</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2.2.4 评分标准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(1）报价评分标准：见评标办法前附表；</w:t>
      </w:r>
    </w:p>
    <w:p>
      <w:pPr>
        <w:snapToGrid w:val="0"/>
        <w:spacing w:line="360" w:lineRule="auto"/>
        <w:ind w:left="120"/>
        <w:rPr>
          <w:rFonts w:hint="eastAsia"/>
          <w:color w:val="auto"/>
          <w:highlight w:val="none"/>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2</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技术标</w:t>
      </w:r>
      <w:r>
        <w:rPr>
          <w:rFonts w:hint="eastAsia" w:ascii="仿宋_GB2312" w:hAnsi="仿宋_GB2312" w:eastAsia="仿宋_GB2312"/>
          <w:color w:val="auto"/>
          <w:highlight w:val="none"/>
        </w:rPr>
        <w:t>评分标准：见评标办法前附表；</w:t>
      </w:r>
    </w:p>
    <w:p>
      <w:pPr>
        <w:snapToGrid w:val="0"/>
        <w:spacing w:line="360" w:lineRule="auto"/>
        <w:ind w:left="120"/>
        <w:rPr>
          <w:rFonts w:hint="eastAsia"/>
          <w:color w:val="auto"/>
          <w:highlight w:val="none"/>
        </w:rPr>
      </w:pP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val="en-US" w:eastAsia="zh-CN"/>
        </w:rPr>
        <w:t>3</w:t>
      </w:r>
      <w:r>
        <w:rPr>
          <w:rFonts w:hint="eastAsia" w:ascii="仿宋_GB2312" w:hAnsi="仿宋_GB2312" w:eastAsia="仿宋_GB2312"/>
          <w:color w:val="auto"/>
          <w:highlight w:val="none"/>
        </w:rPr>
        <w:t>）综合标评分标准：见评标办法前附表。</w:t>
      </w:r>
    </w:p>
    <w:p>
      <w:pPr>
        <w:snapToGrid w:val="0"/>
        <w:spacing w:line="360" w:lineRule="auto"/>
        <w:ind w:left="120"/>
        <w:outlineLvl w:val="1"/>
        <w:rPr>
          <w:rFonts w:hint="eastAsia" w:ascii="仿宋_GB2312" w:hAnsi="仿宋_GB2312" w:eastAsia="仿宋_GB2312"/>
          <w:color w:val="auto"/>
          <w:highlight w:val="none"/>
        </w:rPr>
      </w:pPr>
      <w:bookmarkStart w:id="26" w:name="_Toc20173"/>
      <w:r>
        <w:rPr>
          <w:rFonts w:hint="eastAsia" w:ascii="仿宋_GB2312" w:hAnsi="仿宋_GB2312" w:eastAsia="仿宋_GB2312"/>
          <w:color w:val="auto"/>
          <w:highlight w:val="none"/>
        </w:rPr>
        <w:t>3、评标程序</w:t>
      </w:r>
      <w:bookmarkEnd w:id="26"/>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3.1 初步评审</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3.1.1评标委员会依据本章第2.1.1 项-第2.1.3 项规定的评审标准对投标文件进行初步评审,有一项不符合评审标准的，其投标将被否决。</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3.1.2评标委员会可以要求投标人提交有关证明和证件的原件，以便核验（本项目</w:t>
      </w:r>
      <w:r>
        <w:rPr>
          <w:rFonts w:hint="eastAsia" w:ascii="仿宋_GB2312" w:hAnsi="仿宋_GB2312" w:eastAsia="仿宋_GB2312"/>
          <w:color w:val="auto"/>
          <w:highlight w:val="none"/>
          <w:lang w:eastAsia="zh-CN"/>
        </w:rPr>
        <w:t>采用远程开标</w:t>
      </w:r>
      <w:r>
        <w:rPr>
          <w:rFonts w:hint="eastAsia" w:ascii="仿宋_GB2312" w:hAnsi="仿宋_GB2312" w:eastAsia="仿宋_GB2312"/>
          <w:color w:val="auto"/>
          <w:highlight w:val="none"/>
        </w:rPr>
        <w:t>不适用</w:t>
      </w:r>
      <w:r>
        <w:rPr>
          <w:rFonts w:hint="eastAsia" w:ascii="仿宋_GB2312" w:hAnsi="仿宋_GB2312" w:eastAsia="仿宋_GB2312"/>
          <w:color w:val="auto"/>
          <w:highlight w:val="none"/>
          <w:lang w:eastAsia="zh-CN"/>
        </w:rPr>
        <w:t>本条款</w:t>
      </w:r>
      <w:r>
        <w:rPr>
          <w:rFonts w:hint="eastAsia" w:ascii="仿宋_GB2312" w:hAnsi="仿宋_GB2312" w:eastAsia="仿宋_GB2312"/>
          <w:color w:val="auto"/>
          <w:highlight w:val="none"/>
        </w:rPr>
        <w:t>）。</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3.1.3 投标人有以下情形之一的，其投标将被否决：</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(1）未按招标文件规定编制各项报价的；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(2）投标总报价与其组成部分、工程量清单项目合价与综合单价、综合单价与人材机用量相互矛盾，致使评标委员会无法正常评审判定的；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(3）规费和增值税、安全文明施工措施费违背工程造价管理规定的； </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(4）分部分项工程项目、措施项目报价中的项目编码、项目名称、项目特征、计量单位和工程量与招标文件的清单不一致的；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(5）未按照暂列金额或者暂估价编制投标报价的；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(6）第二章“投标人须知”第1.4.3 项规定的任何一种情形的；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(7）串通投标或弄虚作假或有其他违法行为的；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(8）不按评标委员会要求澄清、说明或补正的。</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3.1.4 投标报价有算术错误的，评标委员会按以下原则对投标报价进行修正，修正的价格经投标人书面确认后具有约束力。投标人不接受修正价格的，其投标将被否决。</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(1）投标文件中的大写金额与小写金额不一致的，以大写金额为准；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(2）总价金额与依据单价计算出的结果不一致的，以单价金额为准修正总价，但单价金额小数点有明显错误的除外。</w:t>
      </w:r>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3.2 详细评审</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3.2.1 评标委员会按本章第2.2 款规定的量化因素和分值进行打分，并计算出综合评估得分。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(1）按本章第2.2.4(1）目规定的评审因素和分值对商务标计算出得分A；</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(2）按本章第2.2.4(2）目规定的评审因素和分值对技术标计算出得分B；</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(3）按本章第2.2.4(3）目规定的评审因素和分值对综合标计算出得分C；</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3.2.2 评分分值计算保留小数点后两位，小数点后第三位“四舍五入”。</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3.2.3 投标人得分=A+B+C。</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将被否决。</w:t>
      </w:r>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3.3 投标文件的澄清和补正</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3.3.2 澄清、说明和补正不得改变投标文件的实质性内容（算术性错误修正的除外）。投标人的书面澄清、说明和补正属于投标文件的组成部分。</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3.3.3 评标委员会对投标人提交的澄清、说明或补正有疑问的，可以要求投标人进一步澄清、说明或补正，直至满足评标委员会的要求。</w:t>
      </w:r>
    </w:p>
    <w:p>
      <w:pPr>
        <w:snapToGrid w:val="0"/>
        <w:spacing w:line="360" w:lineRule="auto"/>
        <w:ind w:left="12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3.4 评标结果</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3.4.1 除第二章“投标人须知”前附表授权直接确定中标人外，评标委员会按照得分由高到低的顺序推荐中标候选人。</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rPr>
        <w:t>3.4.2 评标委员会完成评标后，应当向招标人提交书面评标报告。</w:t>
      </w: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b/>
          <w:bCs/>
          <w:color w:val="auto"/>
          <w:sz w:val="32"/>
          <w:szCs w:val="32"/>
          <w:highlight w:val="none"/>
        </w:rPr>
      </w:pPr>
    </w:p>
    <w:p>
      <w:pPr>
        <w:pStyle w:val="2"/>
        <w:rPr>
          <w:rFonts w:hint="eastAsia" w:ascii="仿宋" w:hAnsi="仿宋" w:eastAsia="仿宋" w:cs="仿宋"/>
          <w:b/>
          <w:bCs/>
          <w:color w:val="auto"/>
          <w:sz w:val="32"/>
          <w:szCs w:val="32"/>
          <w:highlight w:val="none"/>
        </w:rPr>
      </w:pPr>
    </w:p>
    <w:p>
      <w:pPr>
        <w:pStyle w:val="2"/>
        <w:rPr>
          <w:rFonts w:hint="eastAsia" w:ascii="仿宋" w:hAnsi="仿宋" w:eastAsia="仿宋" w:cs="仿宋"/>
          <w:b/>
          <w:bCs/>
          <w:color w:val="auto"/>
          <w:sz w:val="32"/>
          <w:szCs w:val="32"/>
          <w:highlight w:val="none"/>
        </w:rPr>
      </w:pPr>
    </w:p>
    <w:p>
      <w:pPr>
        <w:pStyle w:val="2"/>
        <w:rPr>
          <w:rFonts w:hint="eastAsia" w:ascii="仿宋" w:hAnsi="仿宋" w:eastAsia="仿宋" w:cs="仿宋"/>
          <w:b/>
          <w:bCs/>
          <w:color w:val="auto"/>
          <w:sz w:val="32"/>
          <w:szCs w:val="32"/>
          <w:highlight w:val="none"/>
        </w:rPr>
      </w:pPr>
    </w:p>
    <w:p>
      <w:pPr>
        <w:pStyle w:val="2"/>
        <w:ind w:left="0" w:leftChars="0" w:firstLine="0" w:firstLineChars="0"/>
        <w:rPr>
          <w:rFonts w:hint="eastAsia" w:ascii="仿宋" w:hAnsi="仿宋" w:eastAsia="仿宋" w:cs="仿宋"/>
          <w:b/>
          <w:bCs/>
          <w:color w:val="auto"/>
          <w:sz w:val="32"/>
          <w:szCs w:val="32"/>
          <w:highlight w:val="none"/>
        </w:rPr>
      </w:pPr>
    </w:p>
    <w:p>
      <w:pPr>
        <w:pStyle w:val="5"/>
        <w:rPr>
          <w:rFonts w:hint="eastAsia" w:ascii="仿宋" w:hAnsi="仿宋" w:eastAsia="仿宋" w:cs="仿宋"/>
          <w:b/>
          <w:bCs/>
          <w:color w:val="auto"/>
          <w:sz w:val="32"/>
          <w:szCs w:val="32"/>
          <w:highlight w:val="none"/>
        </w:rPr>
      </w:pPr>
    </w:p>
    <w:p>
      <w:pPr>
        <w:pStyle w:val="5"/>
        <w:rPr>
          <w:rFonts w:hint="eastAsia" w:ascii="仿宋" w:hAnsi="仿宋" w:eastAsia="仿宋" w:cs="仿宋"/>
          <w:b/>
          <w:bCs/>
          <w:color w:val="auto"/>
          <w:sz w:val="32"/>
          <w:szCs w:val="32"/>
          <w:highlight w:val="none"/>
        </w:rPr>
      </w:pPr>
    </w:p>
    <w:p>
      <w:pPr>
        <w:pStyle w:val="5"/>
        <w:rPr>
          <w:rFonts w:hint="eastAsia" w:ascii="仿宋" w:hAnsi="仿宋" w:eastAsia="仿宋" w:cs="仿宋"/>
          <w:b/>
          <w:bCs/>
          <w:color w:val="auto"/>
          <w:sz w:val="32"/>
          <w:szCs w:val="32"/>
          <w:highlight w:val="none"/>
        </w:rPr>
      </w:pPr>
    </w:p>
    <w:p>
      <w:pPr>
        <w:pStyle w:val="5"/>
        <w:rPr>
          <w:rFonts w:hint="eastAsia" w:ascii="仿宋" w:hAnsi="仿宋" w:eastAsia="仿宋" w:cs="仿宋"/>
          <w:b/>
          <w:bCs/>
          <w:color w:val="auto"/>
          <w:sz w:val="32"/>
          <w:szCs w:val="32"/>
          <w:highlight w:val="none"/>
        </w:rPr>
      </w:pPr>
    </w:p>
    <w:p>
      <w:pPr>
        <w:pStyle w:val="5"/>
        <w:rPr>
          <w:rFonts w:hint="eastAsia" w:ascii="仿宋" w:hAnsi="仿宋" w:eastAsia="仿宋" w:cs="仿宋"/>
          <w:b/>
          <w:bCs/>
          <w:color w:val="auto"/>
          <w:sz w:val="32"/>
          <w:szCs w:val="32"/>
          <w:highlight w:val="none"/>
        </w:rPr>
      </w:pPr>
    </w:p>
    <w:p>
      <w:pPr>
        <w:spacing w:line="500" w:lineRule="exact"/>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rPr>
        <w:t>商务标清标内容</w:t>
      </w:r>
    </w:p>
    <w:tbl>
      <w:tblPr>
        <w:tblStyle w:val="23"/>
        <w:tblW w:w="10364" w:type="dxa"/>
        <w:jc w:val="center"/>
        <w:tblLayout w:type="fixed"/>
        <w:tblCellMar>
          <w:top w:w="0" w:type="dxa"/>
          <w:left w:w="108" w:type="dxa"/>
          <w:bottom w:w="0" w:type="dxa"/>
          <w:right w:w="108" w:type="dxa"/>
        </w:tblCellMar>
      </w:tblPr>
      <w:tblGrid>
        <w:gridCol w:w="405"/>
        <w:gridCol w:w="728"/>
        <w:gridCol w:w="3859"/>
        <w:gridCol w:w="3968"/>
        <w:gridCol w:w="645"/>
        <w:gridCol w:w="759"/>
      </w:tblGrid>
      <w:tr>
        <w:tblPrEx>
          <w:tblCellMar>
            <w:top w:w="0" w:type="dxa"/>
            <w:left w:w="108" w:type="dxa"/>
            <w:bottom w:w="0" w:type="dxa"/>
            <w:right w:w="108" w:type="dxa"/>
          </w:tblCellMar>
        </w:tblPrEx>
        <w:trPr>
          <w:trHeight w:val="282" w:hRule="atLeast"/>
          <w:jc w:val="center"/>
        </w:trPr>
        <w:tc>
          <w:tcPr>
            <w:tcW w:w="113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3859"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清标项目</w:t>
            </w:r>
          </w:p>
        </w:tc>
        <w:tc>
          <w:tcPr>
            <w:tcW w:w="3968"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清标内容</w:t>
            </w:r>
          </w:p>
        </w:tc>
        <w:tc>
          <w:tcPr>
            <w:tcW w:w="1404"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清标结果</w:t>
            </w:r>
          </w:p>
        </w:tc>
      </w:tr>
      <w:tr>
        <w:tblPrEx>
          <w:tblCellMar>
            <w:top w:w="0" w:type="dxa"/>
            <w:left w:w="108" w:type="dxa"/>
            <w:bottom w:w="0" w:type="dxa"/>
            <w:right w:w="108" w:type="dxa"/>
          </w:tblCellMar>
        </w:tblPrEx>
        <w:trPr>
          <w:trHeight w:val="204" w:hRule="atLeast"/>
          <w:jc w:val="center"/>
        </w:trPr>
        <w:tc>
          <w:tcPr>
            <w:tcW w:w="113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
                <w:bCs/>
                <w:color w:val="auto"/>
                <w:highlight w:val="none"/>
              </w:rPr>
            </w:pPr>
          </w:p>
        </w:tc>
        <w:tc>
          <w:tcPr>
            <w:tcW w:w="3859" w:type="dxa"/>
            <w:vMerge w:val="continue"/>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
                <w:bCs/>
                <w:color w:val="auto"/>
                <w:highlight w:val="none"/>
              </w:rPr>
            </w:pPr>
          </w:p>
        </w:tc>
        <w:tc>
          <w:tcPr>
            <w:tcW w:w="3968" w:type="dxa"/>
            <w:vMerge w:val="continue"/>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b/>
                <w:bCs/>
                <w:color w:val="auto"/>
                <w:highlight w:val="none"/>
              </w:rPr>
            </w:pP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是</w:t>
            </w: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否</w:t>
            </w: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1.1</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项目总报价</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是否等于各单项工程造价之和</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1.2</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单项工程费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是否等于各单位工程造价之和</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856" w:hRule="atLeas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1.3</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单位工程费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是否等于分部分项工程费+措施项目费+其它项目费+规费+增值税之和</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622" w:hRule="atLeast"/>
          <w:jc w:val="center"/>
        </w:trPr>
        <w:tc>
          <w:tcPr>
            <w:tcW w:w="40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2.1</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分部分项工程费及单价措施费</w:t>
            </w:r>
          </w:p>
        </w:tc>
        <w:tc>
          <w:tcPr>
            <w:tcW w:w="3968" w:type="dxa"/>
            <w:tcBorders>
              <w:top w:val="single" w:color="auto" w:sz="4" w:space="0"/>
              <w:left w:val="nil"/>
              <w:bottom w:val="single" w:color="auto" w:sz="4" w:space="0"/>
              <w:right w:val="single" w:color="auto" w:sz="4" w:space="0"/>
            </w:tcBorders>
            <w:noWrap w:val="0"/>
            <w:vAlign w:val="center"/>
          </w:tcPr>
          <w:p>
            <w:pPr>
              <w:ind w:left="228" w:hanging="216" w:hangingChars="100"/>
              <w:rPr>
                <w:rFonts w:hint="eastAsia" w:ascii="仿宋" w:hAnsi="仿宋" w:eastAsia="仿宋" w:cs="仿宋"/>
                <w:color w:val="auto"/>
                <w:spacing w:val="-12"/>
                <w:highlight w:val="none"/>
              </w:rPr>
            </w:pPr>
            <w:r>
              <w:rPr>
                <w:rFonts w:hint="eastAsia" w:ascii="仿宋" w:hAnsi="仿宋" w:eastAsia="仿宋" w:cs="仿宋"/>
                <w:color w:val="auto"/>
                <w:spacing w:val="-12"/>
                <w:highlight w:val="none"/>
              </w:rPr>
              <w:t>是否等于各分部分项清单（含单价措施项目）费之和</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627"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2.2</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分部分项及单价措施项目编码</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不得修改招标人清单</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2.3</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分部分项及单价措施项目名称</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不得修改招标人清单</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2.4</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分部分项及单价措施项目特征</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不得修改招标人清单</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811"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2.5</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分部分项及单价措施项目计量单位</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不得修改招标人清单</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610"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2.6</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分部分项及单价措施项目工程量</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不得修改招标人清单</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755" w:hRule="atLeas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2.7</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spacing w:val="-4"/>
                <w:highlight w:val="none"/>
              </w:rPr>
            </w:pPr>
            <w:r>
              <w:rPr>
                <w:rFonts w:hint="eastAsia" w:ascii="仿宋" w:hAnsi="仿宋" w:eastAsia="仿宋" w:cs="仿宋"/>
                <w:color w:val="auto"/>
                <w:spacing w:val="-4"/>
                <w:highlight w:val="none"/>
              </w:rPr>
              <w:t>分部分项工程费及单价措施费清单综合单价</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综合单价＝人工费+材料费+机械费+管理费+利润之和</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722" w:hRule="atLeas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2.8</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材料单价</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spacing w:val="-12"/>
                <w:highlight w:val="none"/>
              </w:rPr>
            </w:pPr>
            <w:r>
              <w:rPr>
                <w:rFonts w:hint="eastAsia" w:ascii="仿宋" w:hAnsi="仿宋" w:eastAsia="仿宋" w:cs="仿宋"/>
                <w:color w:val="auto"/>
                <w:spacing w:val="-12"/>
                <w:highlight w:val="none"/>
              </w:rPr>
              <w:t>材料表中的单价与组成清单单价中的综合单价必须一致</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3.1</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安全文明施工费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根据河南省计价依据规定计算</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39" w:hRule="atLeas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3.2</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其他措施费（费率类）项目</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根据招标文件要求自主报价</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539" w:hRule="atLeast"/>
          <w:jc w:val="center"/>
        </w:trPr>
        <w:tc>
          <w:tcPr>
            <w:tcW w:w="405"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4.1</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其它项目费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各组成部分之和（暂列金额+专业暂估价+计日工费+总承包服务费）</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4.2</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暂列金额</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应与招标人价格一致</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4.3</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专业工程暂估价</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应与招标人价格一致</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4.4</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计日工</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应与招标人数量一致</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vMerge w:val="continue"/>
            <w:tcBorders>
              <w:top w:val="nil"/>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highlight w:val="none"/>
              </w:rPr>
            </w:pP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4.5</w:t>
            </w: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总承包服务费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是否按招标文件要求计算</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规费</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根据河南省计价依据规定计算</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54" w:hRule="exact"/>
          <w:jc w:val="center"/>
        </w:trPr>
        <w:tc>
          <w:tcPr>
            <w:tcW w:w="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3859"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增值税</w:t>
            </w:r>
          </w:p>
        </w:tc>
        <w:tc>
          <w:tcPr>
            <w:tcW w:w="3968" w:type="dxa"/>
            <w:tcBorders>
              <w:top w:val="single" w:color="auto" w:sz="4" w:space="0"/>
              <w:left w:val="nil"/>
              <w:bottom w:val="single" w:color="auto" w:sz="4" w:space="0"/>
              <w:right w:val="single" w:color="auto" w:sz="4" w:space="0"/>
            </w:tcBorders>
            <w:noWrap w:val="0"/>
            <w:vAlign w:val="center"/>
          </w:tcPr>
          <w:p>
            <w:pPr>
              <w:rPr>
                <w:rFonts w:hint="eastAsia" w:ascii="仿宋" w:hAnsi="仿宋" w:eastAsia="仿宋" w:cs="仿宋"/>
                <w:color w:val="auto"/>
                <w:highlight w:val="none"/>
              </w:rPr>
            </w:pPr>
            <w:r>
              <w:rPr>
                <w:rFonts w:hint="eastAsia" w:ascii="仿宋" w:hAnsi="仿宋" w:eastAsia="仿宋" w:cs="仿宋"/>
                <w:color w:val="auto"/>
                <w:highlight w:val="none"/>
              </w:rPr>
              <w:t>根据河南省计价依据规定计算</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r>
        <w:tblPrEx>
          <w:tblCellMar>
            <w:top w:w="0" w:type="dxa"/>
            <w:left w:w="108" w:type="dxa"/>
            <w:bottom w:w="0" w:type="dxa"/>
            <w:right w:w="108" w:type="dxa"/>
          </w:tblCellMar>
        </w:tblPrEx>
        <w:trPr>
          <w:trHeight w:val="471" w:hRule="exact"/>
          <w:jc w:val="center"/>
        </w:trPr>
        <w:tc>
          <w:tcPr>
            <w:tcW w:w="4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7</w:t>
            </w:r>
          </w:p>
        </w:tc>
        <w:tc>
          <w:tcPr>
            <w:tcW w:w="728"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82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r>
              <w:rPr>
                <w:rFonts w:hint="eastAsia" w:ascii="仿宋" w:hAnsi="仿宋" w:eastAsia="仿宋" w:cs="仿宋"/>
                <w:color w:val="auto"/>
                <w:highlight w:val="none"/>
              </w:rPr>
              <w:t>不违反法律、法规、规章、规范性文件规定的其它情况</w:t>
            </w:r>
          </w:p>
        </w:tc>
        <w:tc>
          <w:tcPr>
            <w:tcW w:w="645"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c>
          <w:tcPr>
            <w:tcW w:w="759"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auto"/>
                <w:highlight w:val="none"/>
              </w:rPr>
            </w:pPr>
          </w:p>
        </w:tc>
      </w:tr>
    </w:tbl>
    <w:p>
      <w:pPr>
        <w:rPr>
          <w:rFonts w:hint="eastAsia" w:ascii="仿宋" w:hAnsi="仿宋" w:eastAsia="仿宋" w:cs="仿宋"/>
          <w:color w:val="auto"/>
          <w:highlight w:val="none"/>
        </w:rPr>
        <w:sectPr>
          <w:headerReference r:id="rId9" w:type="first"/>
          <w:footerReference r:id="rId11" w:type="first"/>
          <w:footerReference r:id="rId10" w:type="default"/>
          <w:pgSz w:w="11906" w:h="16838"/>
          <w:pgMar w:top="1417" w:right="1134" w:bottom="1417" w:left="1134" w:header="851" w:footer="850" w:gutter="0"/>
          <w:pgNumType w:start="1"/>
          <w:cols w:space="720" w:num="1"/>
          <w:titlePg/>
          <w:docGrid w:linePitch="312" w:charSpace="0"/>
        </w:sectPr>
      </w:pPr>
      <w:r>
        <w:rPr>
          <w:rFonts w:hint="eastAsia" w:ascii="仿宋" w:hAnsi="仿宋" w:eastAsia="仿宋" w:cs="仿宋"/>
          <w:color w:val="auto"/>
          <w:highlight w:val="none"/>
        </w:rPr>
        <w:t>注：不在上述范围内且不具有实质性影响的内容，均不能作为清标的依据或理由。</w:t>
      </w:r>
    </w:p>
    <w:p>
      <w:pPr>
        <w:snapToGrid w:val="0"/>
        <w:spacing w:before="240" w:after="60"/>
        <w:jc w:val="center"/>
        <w:rPr>
          <w:rFonts w:hint="eastAsia" w:ascii="仿宋_GB2312" w:hAnsi="仿宋_GB2312" w:eastAsia="仿宋_GB2312"/>
          <w:b/>
          <w:color w:val="auto"/>
          <w:highlight w:val="none"/>
        </w:rPr>
      </w:pPr>
    </w:p>
    <w:p>
      <w:pPr>
        <w:snapToGrid w:val="0"/>
        <w:spacing w:before="240" w:after="60"/>
        <w:jc w:val="center"/>
        <w:rPr>
          <w:rFonts w:hint="eastAsia" w:ascii="仿宋_GB2312" w:hAnsi="仿宋_GB2312" w:eastAsia="仿宋_GB2312"/>
          <w:b/>
          <w:color w:val="auto"/>
          <w:sz w:val="32"/>
          <w:highlight w:val="none"/>
        </w:rPr>
      </w:pPr>
    </w:p>
    <w:p>
      <w:pPr>
        <w:snapToGrid w:val="0"/>
        <w:spacing w:before="240" w:after="60"/>
        <w:jc w:val="center"/>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snapToGrid w:val="0"/>
        <w:spacing w:before="240" w:after="60"/>
        <w:jc w:val="center"/>
        <w:outlineLvl w:val="0"/>
        <w:rPr>
          <w:rFonts w:hint="eastAsia" w:ascii="仿宋_GB2312" w:hAnsi="仿宋_GB2312" w:eastAsia="仿宋_GB2312"/>
          <w:b/>
          <w:color w:val="auto"/>
          <w:sz w:val="32"/>
          <w:highlight w:val="none"/>
        </w:rPr>
      </w:pPr>
      <w:bookmarkStart w:id="27" w:name="_Toc23902"/>
      <w:r>
        <w:rPr>
          <w:rFonts w:hint="eastAsia" w:ascii="仿宋_GB2312" w:hAnsi="仿宋_GB2312" w:eastAsia="仿宋_GB2312"/>
          <w:b/>
          <w:color w:val="auto"/>
          <w:sz w:val="32"/>
          <w:highlight w:val="none"/>
        </w:rPr>
        <w:t>第四章 合同条款及格式</w:t>
      </w:r>
      <w:bookmarkEnd w:id="27"/>
    </w:p>
    <w:p>
      <w:pPr>
        <w:autoSpaceDE w:val="0"/>
        <w:autoSpaceDN w:val="0"/>
        <w:snapToGrid w:val="0"/>
        <w:spacing w:line="420" w:lineRule="exact"/>
        <w:rPr>
          <w:rFonts w:hint="eastAsia" w:ascii="仿宋_GB2312" w:hAnsi="仿宋_GB2312" w:eastAsia="仿宋_GB2312"/>
          <w:color w:val="auto"/>
          <w:sz w:val="28"/>
          <w:highlight w:val="none"/>
        </w:rPr>
      </w:pPr>
    </w:p>
    <w:p>
      <w:pPr>
        <w:autoSpaceDE w:val="0"/>
        <w:autoSpaceDN w:val="0"/>
        <w:snapToGrid w:val="0"/>
        <w:spacing w:line="420" w:lineRule="exact"/>
        <w:rPr>
          <w:rFonts w:hint="eastAsia" w:ascii="仿宋_GB2312" w:hAnsi="仿宋_GB2312" w:eastAsia="仿宋_GB2312"/>
          <w:color w:val="auto"/>
          <w:sz w:val="28"/>
          <w:highlight w:val="none"/>
        </w:rPr>
      </w:pPr>
    </w:p>
    <w:p>
      <w:pPr>
        <w:autoSpaceDE w:val="0"/>
        <w:autoSpaceDN w:val="0"/>
        <w:snapToGrid w:val="0"/>
        <w:spacing w:line="420" w:lineRule="exact"/>
        <w:rPr>
          <w:rFonts w:hint="eastAsia" w:ascii="仿宋_GB2312" w:hAnsi="仿宋_GB2312" w:eastAsia="仿宋_GB2312"/>
          <w:color w:val="auto"/>
          <w:sz w:val="28"/>
          <w:highlight w:val="none"/>
        </w:rPr>
      </w:pPr>
    </w:p>
    <w:p>
      <w:pPr>
        <w:ind w:firstLine="3795" w:firstLineChars="1260"/>
        <w:jc w:val="center"/>
        <w:rPr>
          <w:rFonts w:hint="eastAsia" w:ascii="仿宋_GB2312" w:eastAsia="仿宋_GB2312"/>
          <w:b/>
          <w:bCs/>
          <w:color w:val="auto"/>
          <w:sz w:val="30"/>
          <w:highlight w:val="none"/>
        </w:rPr>
      </w:pPr>
      <w:r>
        <w:rPr>
          <w:rFonts w:hint="eastAsia" w:ascii="仿宋_GB2312" w:eastAsia="仿宋_GB2312"/>
          <w:b/>
          <w:bCs/>
          <w:color w:val="auto"/>
          <w:sz w:val="30"/>
          <w:highlight w:val="none"/>
        </w:rPr>
        <w:t xml:space="preserve">        </w:t>
      </w: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jc w:val="both"/>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b/>
          <w:bCs/>
          <w:color w:val="auto"/>
          <w:sz w:val="30"/>
          <w:highlight w:val="none"/>
        </w:rPr>
      </w:pPr>
    </w:p>
    <w:p>
      <w:pPr>
        <w:ind w:firstLine="3795" w:firstLineChars="1260"/>
        <w:jc w:val="center"/>
        <w:rPr>
          <w:rFonts w:hint="eastAsia" w:ascii="仿宋_GB2312" w:eastAsia="仿宋_GB2312"/>
          <w:color w:val="auto"/>
          <w:sz w:val="30"/>
          <w:highlight w:val="none"/>
        </w:rPr>
      </w:pPr>
      <w:r>
        <w:rPr>
          <w:rFonts w:hint="eastAsia" w:ascii="仿宋_GB2312" w:eastAsia="仿宋_GB2312"/>
          <w:b/>
          <w:bCs/>
          <w:color w:val="auto"/>
          <w:sz w:val="30"/>
          <w:highlight w:val="none"/>
        </w:rPr>
        <w:t xml:space="preserve">编号：   </w:t>
      </w:r>
    </w:p>
    <w:p>
      <w:pPr>
        <w:rPr>
          <w:rFonts w:hint="eastAsia" w:ascii="仿宋_GB2312" w:eastAsia="仿宋_GB2312"/>
          <w:b/>
          <w:bCs/>
          <w:color w:val="auto"/>
          <w:sz w:val="30"/>
          <w:highlight w:val="none"/>
        </w:rPr>
      </w:pPr>
    </w:p>
    <w:p>
      <w:pPr>
        <w:jc w:val="center"/>
        <w:rPr>
          <w:rFonts w:hint="eastAsia" w:ascii="仿宋_GB2312" w:hAnsi="宋体" w:eastAsia="仿宋_GB2312" w:cs="宋体"/>
          <w:b/>
          <w:bCs/>
          <w:color w:val="auto"/>
          <w:spacing w:val="40"/>
          <w:sz w:val="36"/>
          <w:szCs w:val="36"/>
          <w:highlight w:val="none"/>
        </w:rPr>
      </w:pPr>
      <w:r>
        <w:rPr>
          <w:rFonts w:hint="eastAsia" w:ascii="仿宋_GB2312" w:hAnsi="宋体" w:eastAsia="仿宋_GB2312" w:cs="宋体"/>
          <w:b/>
          <w:bCs/>
          <w:color w:val="auto"/>
          <w:spacing w:val="40"/>
          <w:sz w:val="36"/>
          <w:szCs w:val="36"/>
          <w:highlight w:val="none"/>
        </w:rPr>
        <w:t>华</w:t>
      </w:r>
      <w:r>
        <w:rPr>
          <w:rFonts w:hint="eastAsia" w:ascii="仿宋_GB2312" w:hAnsi="宋体" w:eastAsia="仿宋_GB2312" w:cs="Batang"/>
          <w:b/>
          <w:bCs/>
          <w:color w:val="auto"/>
          <w:spacing w:val="40"/>
          <w:sz w:val="36"/>
          <w:szCs w:val="36"/>
          <w:highlight w:val="none"/>
        </w:rPr>
        <w:t>北水利水</w:t>
      </w:r>
      <w:r>
        <w:rPr>
          <w:rFonts w:hint="eastAsia" w:ascii="仿宋_GB2312" w:hAnsi="宋体" w:eastAsia="仿宋_GB2312" w:cs="宋体"/>
          <w:b/>
          <w:bCs/>
          <w:color w:val="auto"/>
          <w:spacing w:val="40"/>
          <w:sz w:val="36"/>
          <w:szCs w:val="36"/>
          <w:highlight w:val="none"/>
        </w:rPr>
        <w:t>电大学</w:t>
      </w:r>
    </w:p>
    <w:p>
      <w:pPr>
        <w:jc w:val="center"/>
        <w:rPr>
          <w:rFonts w:hint="eastAsia" w:ascii="仿宋_GB2312" w:hAnsi="宋体" w:eastAsia="仿宋_GB2312" w:cs="宋体"/>
          <w:b/>
          <w:bCs/>
          <w:color w:val="auto"/>
          <w:spacing w:val="40"/>
          <w:sz w:val="36"/>
          <w:szCs w:val="36"/>
          <w:highlight w:val="none"/>
        </w:rPr>
      </w:pPr>
    </w:p>
    <w:p>
      <w:pPr>
        <w:jc w:val="center"/>
        <w:rPr>
          <w:rFonts w:hint="eastAsia" w:ascii="仿宋_GB2312" w:hAnsi="宋体" w:eastAsia="仿宋_GB2312"/>
          <w:b/>
          <w:bCs/>
          <w:color w:val="auto"/>
          <w:spacing w:val="40"/>
          <w:sz w:val="36"/>
          <w:szCs w:val="36"/>
          <w:highlight w:val="none"/>
        </w:rPr>
      </w:pPr>
    </w:p>
    <w:p>
      <w:pPr>
        <w:jc w:val="center"/>
        <w:rPr>
          <w:rFonts w:hint="eastAsia" w:ascii="仿宋_GB2312" w:eastAsia="仿宋_GB2312"/>
          <w:b/>
          <w:bCs/>
          <w:color w:val="auto"/>
          <w:spacing w:val="60"/>
          <w:sz w:val="72"/>
          <w:highlight w:val="none"/>
        </w:rPr>
      </w:pPr>
      <w:r>
        <w:rPr>
          <w:rFonts w:hint="eastAsia" w:ascii="仿宋_GB2312" w:eastAsia="仿宋_GB2312"/>
          <w:b/>
          <w:bCs/>
          <w:color w:val="auto"/>
          <w:spacing w:val="60"/>
          <w:sz w:val="72"/>
          <w:highlight w:val="none"/>
        </w:rPr>
        <w:t>工程施工合同</w:t>
      </w:r>
    </w:p>
    <w:p>
      <w:pPr>
        <w:jc w:val="center"/>
        <w:rPr>
          <w:rFonts w:hint="eastAsia" w:ascii="仿宋_GB2312" w:eastAsia="仿宋_GB2312"/>
          <w:b/>
          <w:bCs/>
          <w:color w:val="auto"/>
          <w:spacing w:val="40"/>
          <w:sz w:val="52"/>
          <w:highlight w:val="none"/>
        </w:rPr>
      </w:pPr>
    </w:p>
    <w:p>
      <w:pPr>
        <w:rPr>
          <w:rFonts w:hint="eastAsia" w:ascii="仿宋_GB2312" w:eastAsia="仿宋_GB2312"/>
          <w:b/>
          <w:bCs/>
          <w:color w:val="auto"/>
          <w:spacing w:val="40"/>
          <w:sz w:val="52"/>
          <w:highlight w:val="none"/>
        </w:rPr>
      </w:pPr>
    </w:p>
    <w:p>
      <w:pPr>
        <w:jc w:val="center"/>
        <w:rPr>
          <w:rFonts w:hint="eastAsia" w:ascii="仿宋_GB2312" w:eastAsia="仿宋_GB2312"/>
          <w:b/>
          <w:bCs/>
          <w:color w:val="auto"/>
          <w:spacing w:val="40"/>
          <w:sz w:val="52"/>
          <w:highlight w:val="none"/>
        </w:rPr>
      </w:pPr>
    </w:p>
    <w:p>
      <w:pPr>
        <w:jc w:val="center"/>
        <w:rPr>
          <w:rFonts w:hint="eastAsia" w:ascii="仿宋_GB2312" w:eastAsia="仿宋_GB2312"/>
          <w:b/>
          <w:bCs/>
          <w:color w:val="auto"/>
          <w:spacing w:val="40"/>
          <w:sz w:val="52"/>
          <w:highlight w:val="none"/>
        </w:rPr>
      </w:pPr>
    </w:p>
    <w:p>
      <w:pPr>
        <w:spacing w:line="720" w:lineRule="auto"/>
        <w:ind w:right="360" w:rightChars="150" w:firstLine="1254" w:firstLineChars="250"/>
        <w:rPr>
          <w:rFonts w:hint="eastAsia" w:ascii="仿宋_GB2312" w:eastAsia="仿宋_GB2312"/>
          <w:color w:val="auto"/>
          <w:spacing w:val="20"/>
          <w:sz w:val="30"/>
          <w:szCs w:val="30"/>
          <w:highlight w:val="none"/>
          <w:u w:val="single"/>
        </w:rPr>
      </w:pPr>
      <w:r>
        <w:rPr>
          <w:rFonts w:hint="eastAsia" w:ascii="仿宋_GB2312" w:eastAsia="仿宋_GB2312"/>
          <w:b/>
          <w:bCs/>
          <w:color w:val="auto"/>
          <w:spacing w:val="30"/>
          <w:sz w:val="44"/>
          <w:highlight w:val="none"/>
        </w:rPr>
        <w:t>工程名称</w:t>
      </w:r>
      <w:r>
        <w:rPr>
          <w:rFonts w:hint="eastAsia" w:ascii="仿宋_GB2312" w:eastAsia="仿宋_GB2312"/>
          <w:b/>
          <w:bCs/>
          <w:color w:val="auto"/>
          <w:spacing w:val="20"/>
          <w:sz w:val="44"/>
          <w:highlight w:val="none"/>
        </w:rPr>
        <w:t>：</w:t>
      </w:r>
      <w:r>
        <w:rPr>
          <w:rFonts w:hint="eastAsia" w:ascii="仿宋_GB2312" w:eastAsia="仿宋_GB2312"/>
          <w:color w:val="auto"/>
          <w:sz w:val="30"/>
          <w:szCs w:val="30"/>
          <w:highlight w:val="none"/>
          <w:u w:val="single"/>
        </w:rPr>
        <w:t xml:space="preserve">                          </w:t>
      </w:r>
    </w:p>
    <w:p>
      <w:pPr>
        <w:spacing w:line="720" w:lineRule="auto"/>
        <w:ind w:right="360" w:rightChars="150" w:firstLine="1204" w:firstLineChars="250"/>
        <w:rPr>
          <w:rFonts w:hint="eastAsia" w:ascii="仿宋_GB2312" w:eastAsia="仿宋_GB2312"/>
          <w:color w:val="auto"/>
          <w:sz w:val="30"/>
          <w:szCs w:val="30"/>
          <w:highlight w:val="none"/>
          <w:u w:val="single"/>
        </w:rPr>
      </w:pPr>
      <w:r>
        <w:rPr>
          <w:rFonts w:hint="eastAsia" w:ascii="仿宋_GB2312" w:eastAsia="仿宋_GB2312"/>
          <w:b/>
          <w:bCs/>
          <w:color w:val="auto"/>
          <w:spacing w:val="20"/>
          <w:sz w:val="44"/>
          <w:highlight w:val="none"/>
        </w:rPr>
        <w:t>发 包 人</w:t>
      </w:r>
      <w:r>
        <w:rPr>
          <w:rFonts w:hint="eastAsia" w:ascii="仿宋_GB2312" w:eastAsia="仿宋_GB2312"/>
          <w:b/>
          <w:bCs/>
          <w:color w:val="auto"/>
          <w:sz w:val="44"/>
          <w:highlight w:val="none"/>
        </w:rPr>
        <w:t>：</w:t>
      </w:r>
      <w:r>
        <w:rPr>
          <w:rFonts w:hint="eastAsia" w:ascii="仿宋_GB2312" w:eastAsia="仿宋_GB2312"/>
          <w:b/>
          <w:bCs/>
          <w:color w:val="auto"/>
          <w:sz w:val="44"/>
          <w:highlight w:val="none"/>
          <w:u w:val="single"/>
        </w:rPr>
        <w:t xml:space="preserve">      </w:t>
      </w:r>
      <w:r>
        <w:rPr>
          <w:rFonts w:hint="eastAsia" w:ascii="仿宋_GB2312" w:eastAsia="仿宋_GB2312"/>
          <w:color w:val="auto"/>
          <w:sz w:val="30"/>
          <w:szCs w:val="30"/>
          <w:highlight w:val="none"/>
          <w:u w:val="single"/>
        </w:rPr>
        <w:t xml:space="preserve">                </w:t>
      </w:r>
    </w:p>
    <w:p>
      <w:pPr>
        <w:spacing w:line="720" w:lineRule="auto"/>
        <w:ind w:firstLine="1204" w:firstLineChars="250"/>
        <w:rPr>
          <w:rFonts w:hint="eastAsia" w:ascii="仿宋_GB2312" w:eastAsia="仿宋_GB2312"/>
          <w:b/>
          <w:bCs/>
          <w:color w:val="auto"/>
          <w:sz w:val="30"/>
          <w:szCs w:val="30"/>
          <w:highlight w:val="none"/>
          <w:u w:val="single"/>
        </w:rPr>
      </w:pPr>
      <w:r>
        <w:rPr>
          <w:rFonts w:hint="eastAsia" w:ascii="仿宋_GB2312" w:eastAsia="仿宋_GB2312"/>
          <w:b/>
          <w:bCs/>
          <w:color w:val="auto"/>
          <w:spacing w:val="20"/>
          <w:sz w:val="44"/>
          <w:highlight w:val="none"/>
        </w:rPr>
        <w:t>承 包 人</w:t>
      </w:r>
      <w:r>
        <w:rPr>
          <w:rFonts w:hint="eastAsia" w:ascii="仿宋_GB2312" w:eastAsia="仿宋_GB2312"/>
          <w:b/>
          <w:bCs/>
          <w:color w:val="auto"/>
          <w:sz w:val="44"/>
          <w:highlight w:val="none"/>
        </w:rPr>
        <w:t>：</w:t>
      </w:r>
      <w:r>
        <w:rPr>
          <w:rFonts w:hint="eastAsia" w:ascii="仿宋_GB2312" w:eastAsia="仿宋_GB2312"/>
          <w:b/>
          <w:bCs/>
          <w:color w:val="auto"/>
          <w:sz w:val="44"/>
          <w:highlight w:val="none"/>
          <w:u w:val="single"/>
        </w:rPr>
        <w:t xml:space="preserve">    </w:t>
      </w:r>
      <w:r>
        <w:rPr>
          <w:rFonts w:hint="eastAsia" w:ascii="仿宋_GB2312" w:eastAsia="仿宋_GB2312"/>
          <w:color w:val="auto"/>
          <w:sz w:val="30"/>
          <w:szCs w:val="30"/>
          <w:highlight w:val="none"/>
          <w:u w:val="single"/>
        </w:rPr>
        <w:t xml:space="preserve">                   </w:t>
      </w:r>
    </w:p>
    <w:p>
      <w:pPr>
        <w:rPr>
          <w:rFonts w:hint="eastAsia" w:ascii="仿宋_GB2312" w:eastAsia="仿宋_GB2312"/>
          <w:color w:val="auto"/>
          <w:sz w:val="44"/>
          <w:highlight w:val="none"/>
        </w:rPr>
      </w:pPr>
    </w:p>
    <w:p>
      <w:pPr>
        <w:rPr>
          <w:rFonts w:hint="eastAsia" w:ascii="仿宋_GB2312" w:eastAsia="仿宋_GB2312"/>
          <w:color w:val="auto"/>
          <w:sz w:val="44"/>
          <w:highlight w:val="none"/>
        </w:rPr>
      </w:pPr>
    </w:p>
    <w:p>
      <w:pPr>
        <w:ind w:firstLine="3614" w:firstLineChars="1000"/>
        <w:rPr>
          <w:rFonts w:hint="eastAsia" w:ascii="仿宋_GB2312" w:eastAsia="仿宋_GB2312"/>
          <w:b/>
          <w:bCs/>
          <w:color w:val="auto"/>
          <w:sz w:val="36"/>
          <w:highlight w:val="none"/>
        </w:rPr>
      </w:pPr>
      <w:r>
        <w:rPr>
          <w:rFonts w:hint="eastAsia" w:ascii="仿宋_GB2312" w:eastAsia="仿宋_GB2312"/>
          <w:b/>
          <w:bCs/>
          <w:color w:val="auto"/>
          <w:sz w:val="36"/>
          <w:highlight w:val="none"/>
        </w:rPr>
        <w:t xml:space="preserve"> 年   月   日  </w:t>
      </w:r>
    </w:p>
    <w:p>
      <w:pPr>
        <w:pStyle w:val="6"/>
        <w:spacing w:before="0" w:after="0" w:line="360" w:lineRule="auto"/>
        <w:jc w:val="center"/>
        <w:rPr>
          <w:rFonts w:hint="eastAsia" w:ascii="仿宋_GB2312" w:hAnsi="仿宋_GB2312" w:eastAsia="仿宋_GB2312" w:cs="仿宋_GB2312"/>
          <w:color w:val="auto"/>
          <w:w w:val="99"/>
          <w:sz w:val="24"/>
          <w:szCs w:val="24"/>
          <w:highlight w:val="none"/>
        </w:rPr>
      </w:pPr>
      <w:bookmarkStart w:id="28" w:name="_Toc72505757"/>
      <w:bookmarkStart w:id="29" w:name="_Toc91408654"/>
      <w:bookmarkStart w:id="30" w:name="_Toc374376350"/>
      <w:bookmarkStart w:id="31" w:name="_Toc5337"/>
      <w:bookmarkStart w:id="32" w:name="_Toc257026326"/>
      <w:r>
        <w:rPr>
          <w:rFonts w:hint="eastAsia" w:ascii="仿宋_GB2312" w:hAnsi="仿宋_GB2312" w:eastAsia="仿宋_GB2312" w:cs="仿宋_GB2312"/>
          <w:color w:val="auto"/>
          <w:w w:val="99"/>
          <w:sz w:val="24"/>
          <w:szCs w:val="24"/>
          <w:highlight w:val="none"/>
        </w:rPr>
        <w:t>第一部分  合同协议书</w:t>
      </w:r>
      <w:bookmarkEnd w:id="28"/>
      <w:bookmarkEnd w:id="29"/>
      <w:bookmarkEnd w:id="30"/>
      <w:bookmarkEnd w:id="31"/>
      <w:bookmarkEnd w:id="32"/>
    </w:p>
    <w:p>
      <w:pPr>
        <w:snapToGrid w:val="0"/>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（本合同格式仅供参考，以甲乙双方最终签订的合同为准）</w:t>
      </w:r>
    </w:p>
    <w:p>
      <w:pPr>
        <w:pStyle w:val="38"/>
        <w:spacing w:line="360" w:lineRule="auto"/>
        <w:ind w:left="507"/>
        <w:rPr>
          <w:rFonts w:hint="eastAsia" w:ascii="仿宋_GB2312" w:hAnsi="仿宋_GB2312" w:eastAsia="仿宋_GB2312" w:cs="仿宋_GB2312"/>
          <w:color w:val="auto"/>
          <w:sz w:val="24"/>
          <w:highlight w:val="none"/>
        </w:rPr>
      </w:pPr>
    </w:p>
    <w:p>
      <w:pPr>
        <w:adjustRightInd w:val="0"/>
        <w:snapToGrid w:val="0"/>
        <w:spacing w:line="360" w:lineRule="auto"/>
        <w:rPr>
          <w:rFonts w:hint="eastAsia" w:ascii="仿宋" w:hAnsi="仿宋" w:eastAsia="仿宋" w:cs="仿宋"/>
          <w:b/>
          <w:color w:val="auto"/>
          <w:szCs w:val="21"/>
          <w:highlight w:val="none"/>
          <w:u w:val="single"/>
          <w:shd w:val="clear" w:color="auto" w:fill="FFFFFF"/>
          <w:lang w:eastAsia="zh-CN"/>
        </w:rPr>
      </w:pPr>
      <w:r>
        <w:rPr>
          <w:rFonts w:hint="eastAsia" w:ascii="仿宋" w:hAnsi="仿宋" w:eastAsia="仿宋" w:cs="仿宋"/>
          <w:b/>
          <w:color w:val="auto"/>
          <w:szCs w:val="21"/>
          <w:highlight w:val="none"/>
          <w:shd w:val="clear" w:color="auto" w:fill="FFFFFF"/>
        </w:rPr>
        <w:t>发包人（全称）：</w:t>
      </w:r>
      <w:r>
        <w:rPr>
          <w:rFonts w:hint="eastAsia" w:ascii="仿宋" w:hAnsi="仿宋" w:eastAsia="仿宋" w:cs="仿宋"/>
          <w:b/>
          <w:color w:val="auto"/>
          <w:szCs w:val="21"/>
          <w:highlight w:val="none"/>
          <w:u w:val="single"/>
          <w:shd w:val="clear" w:color="auto" w:fill="FFFFFF"/>
          <w:lang w:eastAsia="zh-CN"/>
        </w:rPr>
        <w:t>华北水利水电大学</w:t>
      </w:r>
    </w:p>
    <w:p>
      <w:pPr>
        <w:adjustRightInd w:val="0"/>
        <w:snapToGrid w:val="0"/>
        <w:spacing w:line="360" w:lineRule="auto"/>
        <w:rPr>
          <w:rFonts w:hint="eastAsia" w:ascii="仿宋" w:hAnsi="仿宋" w:eastAsia="仿宋" w:cs="仿宋"/>
          <w:b/>
          <w:color w:val="auto"/>
          <w:szCs w:val="21"/>
          <w:highlight w:val="none"/>
          <w:u w:val="single"/>
          <w:shd w:val="clear" w:color="auto" w:fill="FFFFFF"/>
        </w:rPr>
      </w:pPr>
      <w:r>
        <w:rPr>
          <w:rFonts w:hint="eastAsia" w:ascii="仿宋" w:hAnsi="仿宋" w:eastAsia="仿宋" w:cs="仿宋"/>
          <w:b/>
          <w:color w:val="auto"/>
          <w:szCs w:val="21"/>
          <w:highlight w:val="none"/>
          <w:shd w:val="clear" w:color="auto" w:fill="FFFFFF"/>
        </w:rPr>
        <w:t>承包人（全称）：</w:t>
      </w:r>
      <w:r>
        <w:rPr>
          <w:rFonts w:hint="eastAsia" w:ascii="仿宋" w:hAnsi="仿宋" w:eastAsia="仿宋" w:cs="仿宋"/>
          <w:b/>
          <w:color w:val="auto"/>
          <w:szCs w:val="21"/>
          <w:highlight w:val="none"/>
          <w:u w:val="single"/>
          <w:shd w:val="clear" w:color="auto" w:fill="FFFFFF"/>
        </w:rPr>
        <w:t xml:space="preserve">            </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根据《中华人民共和国合同法》、《中华人民共和国建筑法》及有关法律规定，遵循平等、自愿、公平和诚实信用的原则，双方就</w:t>
      </w:r>
      <w:r>
        <w:rPr>
          <w:rFonts w:hint="eastAsia" w:ascii="仿宋" w:hAnsi="仿宋" w:eastAsia="仿宋" w:cs="仿宋"/>
          <w:color w:val="auto"/>
          <w:szCs w:val="21"/>
          <w:highlight w:val="none"/>
          <w:u w:val="single"/>
          <w:shd w:val="clear" w:color="auto" w:fill="FFFFFF"/>
          <w:lang w:eastAsia="zh-CN"/>
        </w:rPr>
        <w:t>华北水利水电大学(花园校区)增容供配电工程项目</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u w:val="none"/>
          <w:shd w:val="clear" w:color="auto" w:fill="FFFFFF"/>
        </w:rPr>
        <w:t>施工</w:t>
      </w:r>
      <w:r>
        <w:rPr>
          <w:rFonts w:hint="eastAsia" w:ascii="仿宋" w:hAnsi="仿宋" w:eastAsia="仿宋" w:cs="仿宋"/>
          <w:color w:val="auto"/>
          <w:szCs w:val="21"/>
          <w:highlight w:val="none"/>
          <w:shd w:val="clear" w:color="auto" w:fill="FFFFFF"/>
        </w:rPr>
        <w:t>及有关事项协商一致，共同达成如下协议：</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一、工程概况</w:t>
      </w:r>
    </w:p>
    <w:p>
      <w:pPr>
        <w:adjustRightInd w:val="0"/>
        <w:snapToGrid w:val="0"/>
        <w:spacing w:line="360" w:lineRule="auto"/>
        <w:ind w:firstLine="470" w:firstLineChars="196"/>
        <w:rPr>
          <w:rFonts w:hint="eastAsia" w:ascii="仿宋" w:hAnsi="仿宋" w:eastAsia="仿宋" w:cs="仿宋"/>
          <w:color w:val="auto"/>
          <w:szCs w:val="21"/>
          <w:highlight w:val="none"/>
          <w:u w:val="single"/>
          <w:shd w:val="clear" w:color="auto" w:fill="FFFFFF"/>
        </w:rPr>
      </w:pPr>
      <w:r>
        <w:rPr>
          <w:rFonts w:hint="eastAsia" w:ascii="仿宋" w:hAnsi="仿宋" w:eastAsia="仿宋" w:cs="仿宋"/>
          <w:bCs/>
          <w:color w:val="auto"/>
          <w:szCs w:val="21"/>
          <w:highlight w:val="none"/>
          <w:shd w:val="clear" w:color="auto" w:fill="FFFFFF"/>
        </w:rPr>
        <w:t>1.工程名称</w:t>
      </w:r>
      <w:r>
        <w:rPr>
          <w:rFonts w:hint="eastAsia" w:ascii="仿宋" w:hAnsi="仿宋" w:eastAsia="仿宋" w:cs="仿宋"/>
          <w:color w:val="auto"/>
          <w:szCs w:val="21"/>
          <w:highlight w:val="none"/>
          <w:shd w:val="clear" w:color="auto" w:fill="FFFFFF"/>
        </w:rPr>
        <w:t>：</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70" w:firstLineChars="196"/>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2.工程地点：</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70" w:firstLineChars="196"/>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3.资金来源：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bCs/>
          <w:color w:val="auto"/>
          <w:szCs w:val="21"/>
          <w:highlight w:val="none"/>
          <w:shd w:val="clear" w:color="auto" w:fill="FFFFFF"/>
        </w:rPr>
        <w:t>。</w:t>
      </w:r>
    </w:p>
    <w:p>
      <w:pPr>
        <w:adjustRightInd w:val="0"/>
        <w:snapToGrid w:val="0"/>
        <w:spacing w:line="360" w:lineRule="auto"/>
        <w:ind w:firstLine="470" w:firstLineChars="196"/>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4.工程内容：</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bCs/>
          <w:color w:val="auto"/>
          <w:szCs w:val="21"/>
          <w:highlight w:val="none"/>
          <w:shd w:val="clear" w:color="auto" w:fill="FFFFFF"/>
        </w:rPr>
        <w:t>。</w:t>
      </w:r>
    </w:p>
    <w:p>
      <w:pPr>
        <w:adjustRightInd w:val="0"/>
        <w:snapToGrid w:val="0"/>
        <w:spacing w:line="360" w:lineRule="auto"/>
        <w:ind w:firstLine="463" w:firstLineChars="193"/>
        <w:rPr>
          <w:rFonts w:hint="eastAsia" w:ascii="仿宋" w:hAnsi="仿宋" w:eastAsia="仿宋" w:cs="仿宋"/>
          <w:color w:val="auto"/>
          <w:szCs w:val="21"/>
          <w:highlight w:val="none"/>
          <w:shd w:val="clear" w:color="auto" w:fill="FFFFFF"/>
        </w:rPr>
      </w:pPr>
      <w:r>
        <w:rPr>
          <w:rFonts w:hint="eastAsia" w:ascii="仿宋" w:hAnsi="仿宋" w:eastAsia="仿宋" w:cs="仿宋"/>
          <w:bCs/>
          <w:color w:val="auto"/>
          <w:szCs w:val="21"/>
          <w:highlight w:val="none"/>
          <w:shd w:val="clear" w:color="auto" w:fill="FFFFFF"/>
        </w:rPr>
        <w:t>5.工程承包范围：</w:t>
      </w:r>
      <w:r>
        <w:rPr>
          <w:rFonts w:hint="eastAsia" w:ascii="仿宋" w:hAnsi="仿宋" w:eastAsia="仿宋" w:cs="仿宋"/>
          <w:bCs/>
          <w:color w:val="auto"/>
          <w:szCs w:val="21"/>
          <w:highlight w:val="none"/>
          <w:u w:val="single"/>
          <w:shd w:val="clear" w:color="auto" w:fill="FFFFFF"/>
          <w:lang w:eastAsia="zh-CN"/>
        </w:rPr>
        <w:t>按照学校工作安排，拟对我校花园校区配电系统（高低压）进行施工改造。工作主要内容包括：电力增容、校内外高压线路和设备的采购安装调试、校内低压线路和设备的采购安装调试、花园校区配套用电手续的办理等</w:t>
      </w:r>
      <w:r>
        <w:rPr>
          <w:rFonts w:hint="eastAsia" w:ascii="仿宋" w:hAnsi="仿宋" w:eastAsia="仿宋" w:cs="仿宋"/>
          <w:color w:val="auto"/>
          <w:kern w:val="0"/>
          <w:sz w:val="24"/>
          <w:highlight w:val="none"/>
          <w:u w:val="single"/>
          <w:shd w:val="clear" w:color="auto" w:fill="FFFFFF"/>
        </w:rPr>
        <w:t>；</w:t>
      </w:r>
      <w:r>
        <w:rPr>
          <w:rFonts w:hint="eastAsia" w:ascii="仿宋" w:hAnsi="仿宋" w:eastAsia="仿宋" w:cs="仿宋"/>
          <w:color w:val="auto"/>
          <w:highlight w:val="none"/>
          <w:u w:val="single"/>
          <w:shd w:val="clear" w:color="auto" w:fill="FFFFFF"/>
        </w:rPr>
        <w:t>其余详见招标工程量清单及图纸全部内容</w:t>
      </w:r>
      <w:r>
        <w:rPr>
          <w:rFonts w:hint="eastAsia" w:ascii="仿宋" w:hAnsi="仿宋" w:eastAsia="仿宋" w:cs="仿宋"/>
          <w:color w:val="auto"/>
          <w:szCs w:val="21"/>
          <w:highlight w:val="none"/>
          <w:shd w:val="clear" w:color="auto" w:fill="FFFFFF"/>
        </w:rPr>
        <w:t>。</w:t>
      </w:r>
    </w:p>
    <w:p>
      <w:pPr>
        <w:pStyle w:val="8"/>
        <w:adjustRightInd w:val="0"/>
        <w:snapToGrid w:val="0"/>
        <w:spacing w:before="0" w:after="0" w:line="360" w:lineRule="auto"/>
        <w:rPr>
          <w:rFonts w:hint="eastAsia" w:ascii="仿宋" w:hAnsi="仿宋" w:eastAsia="仿宋" w:cs="仿宋"/>
          <w:b w:val="0"/>
          <w:color w:val="auto"/>
          <w:sz w:val="21"/>
          <w:szCs w:val="21"/>
          <w:highlight w:val="none"/>
          <w:shd w:val="clear" w:color="auto" w:fill="FFFFFF"/>
        </w:rPr>
      </w:pP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二、合同工期</w:t>
      </w:r>
    </w:p>
    <w:p>
      <w:pPr>
        <w:adjustRightInd w:val="0"/>
        <w:snapToGrid w:val="0"/>
        <w:spacing w:line="360" w:lineRule="auto"/>
        <w:ind w:firstLine="459"/>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计划开工日期：</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年</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月</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日。</w:t>
      </w:r>
    </w:p>
    <w:p>
      <w:pPr>
        <w:adjustRightInd w:val="0"/>
        <w:snapToGrid w:val="0"/>
        <w:spacing w:line="360" w:lineRule="auto"/>
        <w:ind w:firstLine="459"/>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计划竣工日期：</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年</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月</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日。</w:t>
      </w:r>
    </w:p>
    <w:p>
      <w:pPr>
        <w:adjustRightInd w:val="0"/>
        <w:snapToGrid w:val="0"/>
        <w:spacing w:line="360" w:lineRule="auto"/>
        <w:ind w:firstLine="459"/>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工期总日历天数：</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天。工期总日历天数与根据前述计划开竣工日期计算的工期天数不一致的，以工期总日历天数为准。</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三、质量标准</w:t>
      </w:r>
    </w:p>
    <w:p>
      <w:pPr>
        <w:adjustRightInd w:val="0"/>
        <w:snapToGrid w:val="0"/>
        <w:spacing w:line="360" w:lineRule="auto"/>
        <w:ind w:firstLine="459"/>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工程质量符合</w:t>
      </w:r>
      <w:r>
        <w:rPr>
          <w:rFonts w:hint="eastAsia" w:ascii="仿宋" w:hAnsi="仿宋" w:eastAsia="仿宋" w:cs="仿宋"/>
          <w:color w:val="auto"/>
          <w:szCs w:val="21"/>
          <w:highlight w:val="none"/>
          <w:u w:val="single"/>
          <w:shd w:val="clear" w:color="auto" w:fill="FFFFFF"/>
        </w:rPr>
        <w:t>设计、现行国家和行业</w:t>
      </w:r>
      <w:r>
        <w:rPr>
          <w:rFonts w:hint="eastAsia" w:ascii="仿宋" w:hAnsi="仿宋" w:eastAsia="仿宋" w:cs="仿宋"/>
          <w:color w:val="auto"/>
          <w:szCs w:val="21"/>
          <w:highlight w:val="none"/>
          <w:shd w:val="clear" w:color="auto" w:fill="FFFFFF"/>
        </w:rPr>
        <w:t>标准。</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四、签约合同价与合同价格形式</w:t>
      </w:r>
      <w:r>
        <w:rPr>
          <w:rFonts w:hint="eastAsia" w:ascii="仿宋" w:hAnsi="仿宋" w:eastAsia="仿宋" w:cs="仿宋"/>
          <w:b w:val="0"/>
          <w:color w:val="auto"/>
          <w:sz w:val="21"/>
          <w:szCs w:val="21"/>
          <w:highlight w:val="none"/>
          <w:shd w:val="clear" w:color="auto" w:fill="FFFFFF"/>
        </w:rPr>
        <w:tab/>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1.签约合同价为：</w:t>
      </w:r>
    </w:p>
    <w:p>
      <w:pPr>
        <w:adjustRightInd w:val="0"/>
        <w:snapToGrid w:val="0"/>
        <w:spacing w:line="360" w:lineRule="auto"/>
        <w:ind w:firstLine="600" w:firstLineChars="2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人民币（大写）</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元)；</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其中：</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（1）安全文明施工费：</w:t>
      </w:r>
    </w:p>
    <w:p>
      <w:pPr>
        <w:adjustRightInd w:val="0"/>
        <w:snapToGrid w:val="0"/>
        <w:spacing w:line="360" w:lineRule="auto"/>
        <w:ind w:firstLine="1080" w:firstLineChars="4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人民币（大写）</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元)；</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（2）材料和工程设备暂估价金额：</w:t>
      </w:r>
    </w:p>
    <w:p>
      <w:pPr>
        <w:adjustRightInd w:val="0"/>
        <w:snapToGrid w:val="0"/>
        <w:spacing w:line="360" w:lineRule="auto"/>
        <w:ind w:firstLine="1080" w:firstLineChars="4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人民币（大写）</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元)；</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（3）专业工程暂估价金额：</w:t>
      </w:r>
    </w:p>
    <w:p>
      <w:pPr>
        <w:adjustRightInd w:val="0"/>
        <w:snapToGrid w:val="0"/>
        <w:spacing w:line="360" w:lineRule="auto"/>
        <w:ind w:firstLine="1080" w:firstLineChars="4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人民币（大写）</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元)；</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（4）暂列金额：</w:t>
      </w:r>
    </w:p>
    <w:p>
      <w:pPr>
        <w:adjustRightInd w:val="0"/>
        <w:snapToGrid w:val="0"/>
        <w:spacing w:line="360" w:lineRule="auto"/>
        <w:ind w:firstLine="1080" w:firstLineChars="4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人民币（大写）</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元)。</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2.合同价格形式：</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u w:val="single"/>
          <w:shd w:val="clear" w:color="auto" w:fill="FFFFFF"/>
          <w:lang w:eastAsia="zh-CN"/>
        </w:rPr>
        <w:t>总价合同</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w:t>
      </w:r>
    </w:p>
    <w:p>
      <w:pPr>
        <w:pStyle w:val="8"/>
        <w:adjustRightInd w:val="0"/>
        <w:snapToGrid w:val="0"/>
        <w:spacing w:before="0" w:after="0" w:line="360" w:lineRule="auto"/>
        <w:rPr>
          <w:rFonts w:hint="eastAsia" w:ascii="仿宋" w:hAnsi="仿宋" w:eastAsia="仿宋" w:cs="仿宋"/>
          <w:b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五、项目经理</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承包人项目经理：</w:t>
      </w:r>
      <w:r>
        <w:rPr>
          <w:rFonts w:hint="eastAsia" w:ascii="仿宋" w:hAnsi="仿宋" w:eastAsia="仿宋" w:cs="仿宋"/>
          <w:color w:val="auto"/>
          <w:szCs w:val="21"/>
          <w:highlight w:val="none"/>
          <w:u w:val="single"/>
          <w:shd w:val="clear" w:color="auto" w:fill="FFFFFF"/>
        </w:rPr>
        <w:t>                     </w:t>
      </w:r>
      <w:r>
        <w:rPr>
          <w:rFonts w:hint="eastAsia" w:ascii="仿宋" w:hAnsi="仿宋" w:eastAsia="仿宋" w:cs="仿宋"/>
          <w:color w:val="auto"/>
          <w:szCs w:val="21"/>
          <w:highlight w:val="none"/>
          <w:shd w:val="clear" w:color="auto" w:fill="FFFFFF"/>
        </w:rPr>
        <w:t>。</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六、合同文件构成</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本协议书与下列文件一起构成合同文件：</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（1）中标通知书（如果有）；</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 xml:space="preserve">（2）投标函及其附录（如果有）； </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（3）专用合同条款及其附件；</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（4）通用合同条款；</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（5）技术标准和要求；</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（6）图纸；</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（7）已标价工程量清单或预算书；</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（8）其他合同文件。</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在合同订立及履行过程中形成的与合同有关的文件均构成合同文件组成部分。</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上述各项合同文件包括合同当事人就该项合同文件所作出的补充和修改，属于同一类内容的文件，应以最新签署的为准。专用合同条款及其附件须经合同当事人签字或盖章。</w:t>
      </w:r>
    </w:p>
    <w:p>
      <w:pPr>
        <w:pStyle w:val="8"/>
        <w:adjustRightInd w:val="0"/>
        <w:snapToGrid w:val="0"/>
        <w:spacing w:before="0" w:after="0" w:line="360" w:lineRule="auto"/>
        <w:rPr>
          <w:rFonts w:hint="eastAsia" w:ascii="仿宋" w:hAnsi="仿宋" w:eastAsia="仿宋" w:cs="仿宋"/>
          <w:b w:val="0"/>
          <w:bCs w:val="0"/>
          <w:color w:val="auto"/>
          <w:sz w:val="21"/>
          <w:szCs w:val="21"/>
          <w:highlight w:val="none"/>
          <w:shd w:val="clear" w:color="auto" w:fill="FFFFFF"/>
        </w:rPr>
      </w:pPr>
      <w:r>
        <w:rPr>
          <w:rFonts w:hint="eastAsia" w:ascii="仿宋" w:hAnsi="仿宋" w:eastAsia="仿宋" w:cs="仿宋"/>
          <w:b w:val="0"/>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七、承诺</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1.发包人承诺按照法律规定履行项目审批手续、筹集工程建设资金并按照合同约定的期限和方式支付合同价款。</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2.承包人承诺按照法律规定及合同约定组织完成工程施工，确保工程质量和安全，不进行转包及违法分包，并在缺陷责任期及保修期内承担相应的工程维修责任。</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3.发包人和承包人通过招投标形式签订合同的，双方理解并承诺不再就同一工程另行签订与合同实质性内容相背离的协议。</w:t>
      </w:r>
    </w:p>
    <w:p>
      <w:pPr>
        <w:adjustRightInd w:val="0"/>
        <w:snapToGrid w:val="0"/>
        <w:spacing w:line="360" w:lineRule="auto"/>
        <w:rPr>
          <w:rFonts w:hint="eastAsia" w:ascii="仿宋" w:hAnsi="仿宋" w:eastAsia="仿宋" w:cs="仿宋"/>
          <w:bCs/>
          <w:color w:val="auto"/>
          <w:szCs w:val="21"/>
          <w:highlight w:val="none"/>
          <w:shd w:val="clear" w:color="auto" w:fill="FFFFFF"/>
        </w:rPr>
      </w:pPr>
      <w:r>
        <w:rPr>
          <w:rFonts w:hint="eastAsia" w:ascii="仿宋" w:hAnsi="仿宋" w:eastAsia="仿宋" w:cs="仿宋"/>
          <w:b/>
          <w:color w:val="auto"/>
          <w:szCs w:val="21"/>
          <w:highlight w:val="none"/>
          <w:shd w:val="clear" w:color="auto" w:fill="FFFFFF"/>
        </w:rPr>
        <w:t xml:space="preserve">    八、词语含义</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本协议书中词语含义与第二部分通用合同条款中赋予的含义相同。</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 xml:space="preserve">  </w:t>
      </w:r>
      <w:r>
        <w:rPr>
          <w:rFonts w:hint="eastAsia" w:ascii="仿宋" w:hAnsi="仿宋" w:eastAsia="仿宋" w:cs="仿宋"/>
          <w:bCs w:val="0"/>
          <w:color w:val="auto"/>
          <w:sz w:val="21"/>
          <w:szCs w:val="21"/>
          <w:highlight w:val="none"/>
          <w:shd w:val="clear" w:color="auto" w:fill="FFFFFF"/>
        </w:rPr>
        <w:t>九、签订时间</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本合同于</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年</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月</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日签订。</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十、签订地点</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本合同在</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签订。</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十一、补充协议</w:t>
      </w:r>
    </w:p>
    <w:p>
      <w:pPr>
        <w:adjustRightInd w:val="0"/>
        <w:snapToGrid w:val="0"/>
        <w:spacing w:line="360" w:lineRule="auto"/>
        <w:ind w:firstLine="480"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合同未尽事宜，合同当事人另行签订补充协议，补充协议是合同的组成部分。</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十二、合同生效</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本合同自</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生效。</w:t>
      </w:r>
    </w:p>
    <w:p>
      <w:pPr>
        <w:pStyle w:val="8"/>
        <w:adjustRightInd w:val="0"/>
        <w:snapToGrid w:val="0"/>
        <w:spacing w:before="0" w:after="0" w:line="360" w:lineRule="auto"/>
        <w:rPr>
          <w:rFonts w:hint="eastAsia" w:ascii="仿宋" w:hAnsi="仿宋" w:eastAsia="仿宋" w:cs="仿宋"/>
          <w:bCs w:val="0"/>
          <w:color w:val="auto"/>
          <w:sz w:val="21"/>
          <w:szCs w:val="21"/>
          <w:highlight w:val="none"/>
          <w:shd w:val="clear" w:color="auto" w:fill="FFFFFF"/>
        </w:rPr>
      </w:pPr>
      <w:r>
        <w:rPr>
          <w:rFonts w:hint="eastAsia" w:ascii="仿宋" w:hAnsi="仿宋" w:eastAsia="仿宋" w:cs="仿宋"/>
          <w:bCs w:val="0"/>
          <w:color w:val="auto"/>
          <w:sz w:val="21"/>
          <w:szCs w:val="21"/>
          <w:highlight w:val="none"/>
          <w:shd w:val="clear" w:color="auto" w:fill="FFFFFF"/>
        </w:rPr>
        <w:t xml:space="preserve">    </w:t>
      </w:r>
      <w:r>
        <w:rPr>
          <w:rFonts w:hint="eastAsia" w:ascii="仿宋" w:hAnsi="仿宋" w:eastAsia="仿宋" w:cs="仿宋"/>
          <w:b w:val="0"/>
          <w:color w:val="auto"/>
          <w:sz w:val="21"/>
          <w:szCs w:val="21"/>
          <w:highlight w:val="none"/>
          <w:shd w:val="clear" w:color="auto" w:fill="FFFFFF"/>
        </w:rPr>
        <w:t>十三、合同份数</w:t>
      </w:r>
    </w:p>
    <w:p>
      <w:pPr>
        <w:adjustRightInd w:val="0"/>
        <w:snapToGrid w:val="0"/>
        <w:spacing w:line="360" w:lineRule="auto"/>
        <w:ind w:firstLine="480" w:firstLineChars="200"/>
        <w:rPr>
          <w:rFonts w:hint="eastAsia" w:ascii="仿宋" w:hAnsi="仿宋" w:eastAsia="仿宋" w:cs="仿宋"/>
          <w:bCs/>
          <w:color w:val="auto"/>
          <w:szCs w:val="21"/>
          <w:highlight w:val="none"/>
          <w:shd w:val="clear" w:color="auto" w:fill="FFFFFF"/>
        </w:rPr>
      </w:pPr>
      <w:r>
        <w:rPr>
          <w:rFonts w:hint="eastAsia" w:ascii="仿宋" w:hAnsi="仿宋" w:eastAsia="仿宋" w:cs="仿宋"/>
          <w:bCs/>
          <w:color w:val="auto"/>
          <w:szCs w:val="21"/>
          <w:highlight w:val="none"/>
          <w:shd w:val="clear" w:color="auto" w:fill="FFFFFF"/>
        </w:rPr>
        <w:t>本合同一式</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份，均具有同等法律效力，发包人执</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份，承包人执</w:t>
      </w:r>
      <w:r>
        <w:rPr>
          <w:rFonts w:hint="eastAsia" w:ascii="仿宋" w:hAnsi="仿宋" w:eastAsia="仿宋" w:cs="仿宋"/>
          <w:bCs/>
          <w:color w:val="auto"/>
          <w:szCs w:val="21"/>
          <w:highlight w:val="none"/>
          <w:u w:val="single"/>
          <w:shd w:val="clear" w:color="auto" w:fill="FFFFFF"/>
        </w:rPr>
        <w:t xml:space="preserve">    </w:t>
      </w:r>
      <w:r>
        <w:rPr>
          <w:rFonts w:hint="eastAsia" w:ascii="仿宋" w:hAnsi="仿宋" w:eastAsia="仿宋" w:cs="仿宋"/>
          <w:bCs/>
          <w:color w:val="auto"/>
          <w:szCs w:val="21"/>
          <w:highlight w:val="none"/>
          <w:shd w:val="clear" w:color="auto" w:fill="FFFFFF"/>
        </w:rPr>
        <w:t>份。</w:t>
      </w:r>
    </w:p>
    <w:p>
      <w:pPr>
        <w:adjustRightInd w:val="0"/>
        <w:snapToGrid w:val="0"/>
        <w:spacing w:line="360" w:lineRule="auto"/>
        <w:rPr>
          <w:rFonts w:hint="eastAsia" w:ascii="仿宋" w:hAnsi="仿宋" w:eastAsia="仿宋" w:cs="仿宋"/>
          <w:color w:val="auto"/>
          <w:szCs w:val="21"/>
          <w:highlight w:val="none"/>
          <w:shd w:val="clear" w:color="auto" w:fill="FFFFFF"/>
        </w:rPr>
      </w:pP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  (公章)             承包人：  (公章)</w:t>
      </w:r>
    </w:p>
    <w:p>
      <w:pPr>
        <w:adjustRightInd w:val="0"/>
        <w:snapToGrid w:val="0"/>
        <w:spacing w:line="360" w:lineRule="auto"/>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法定代表人或其委托代理人：  法定代表人或其委托代理人：</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（签字）                    （签字）</w:t>
      </w:r>
    </w:p>
    <w:p>
      <w:pPr>
        <w:adjustRightInd w:val="0"/>
        <w:snapToGrid w:val="0"/>
        <w:spacing w:line="360" w:lineRule="auto"/>
        <w:rPr>
          <w:rFonts w:hint="eastAsia" w:ascii="仿宋" w:hAnsi="仿宋" w:eastAsia="仿宋" w:cs="仿宋"/>
          <w:color w:val="auto"/>
          <w:szCs w:val="21"/>
          <w:highlight w:val="none"/>
          <w:u w:val="single"/>
          <w:shd w:val="clear" w:color="auto" w:fill="FFFFFF"/>
        </w:rPr>
      </w:pPr>
    </w:p>
    <w:p>
      <w:pPr>
        <w:tabs>
          <w:tab w:val="left" w:pos="4410"/>
        </w:tabs>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组织机构代码：</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 xml:space="preserve">  组织机构代码：</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地  址：</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 xml:space="preserve">  地  址：</w:t>
      </w:r>
      <w:r>
        <w:rPr>
          <w:rFonts w:hint="eastAsia" w:ascii="仿宋" w:hAnsi="仿宋" w:eastAsia="仿宋" w:cs="仿宋"/>
          <w:color w:val="auto"/>
          <w:szCs w:val="21"/>
          <w:highlight w:val="none"/>
          <w:u w:val="single"/>
          <w:shd w:val="clear" w:color="auto" w:fill="FFFFFF"/>
        </w:rPr>
        <w:t xml:space="preserve">  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邮政编码：</w:t>
      </w:r>
      <w:r>
        <w:rPr>
          <w:rFonts w:hint="eastAsia" w:ascii="仿宋" w:hAnsi="仿宋" w:eastAsia="仿宋" w:cs="仿宋"/>
          <w:color w:val="auto"/>
          <w:szCs w:val="21"/>
          <w:highlight w:val="none"/>
          <w:u w:val="single"/>
          <w:shd w:val="clear" w:color="auto" w:fill="FFFFFF"/>
        </w:rPr>
        <w:t xml:space="preserve">      </w:t>
      </w:r>
      <w:r>
        <w:rPr>
          <w:rFonts w:hint="eastAsia" w:ascii="仿宋" w:hAnsi="仿宋" w:eastAsia="仿宋" w:cs="仿宋"/>
          <w:color w:val="auto"/>
          <w:szCs w:val="21"/>
          <w:highlight w:val="none"/>
          <w:shd w:val="clear" w:color="auto" w:fill="FFFFFF"/>
        </w:rPr>
        <w:t xml:space="preserve">  邮政编码：</w:t>
      </w:r>
      <w:r>
        <w:rPr>
          <w:rFonts w:hint="eastAsia" w:ascii="仿宋" w:hAnsi="仿宋" w:eastAsia="仿宋" w:cs="仿宋"/>
          <w:color w:val="auto"/>
          <w:szCs w:val="21"/>
          <w:highlight w:val="none"/>
          <w:u w:val="singl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法定代表人：</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 xml:space="preserve">  法定代表人：</w:t>
      </w:r>
      <w:r>
        <w:rPr>
          <w:rFonts w:hint="eastAsia" w:ascii="仿宋" w:hAnsi="仿宋" w:eastAsia="仿宋" w:cs="仿宋"/>
          <w:color w:val="auto"/>
          <w:szCs w:val="21"/>
          <w:highlight w:val="none"/>
          <w:u w:val="single"/>
          <w:shd w:val="clear" w:color="auto" w:fill="FFFFFF"/>
        </w:rPr>
        <w:t xml:space="preserve">      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委托代理人：</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委托代理人：</w:t>
      </w:r>
      <w:r>
        <w:rPr>
          <w:rFonts w:hint="eastAsia" w:ascii="仿宋" w:hAnsi="仿宋" w:eastAsia="仿宋" w:cs="仿宋"/>
          <w:color w:val="auto"/>
          <w:szCs w:val="21"/>
          <w:highlight w:val="none"/>
          <w:u w:val="singl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  话：</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电  话：</w:t>
      </w:r>
      <w:r>
        <w:rPr>
          <w:rFonts w:hint="eastAsia" w:ascii="仿宋" w:hAnsi="仿宋" w:eastAsia="仿宋" w:cs="仿宋"/>
          <w:color w:val="auto"/>
          <w:szCs w:val="21"/>
          <w:highlight w:val="none"/>
          <w:u w:val="singl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传  真：</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传  真：</w:t>
      </w:r>
      <w:r>
        <w:rPr>
          <w:rFonts w:hint="eastAsia" w:ascii="仿宋" w:hAnsi="仿宋" w:eastAsia="仿宋" w:cs="仿宋"/>
          <w:color w:val="auto"/>
          <w:szCs w:val="21"/>
          <w:highlight w:val="none"/>
          <w:u w:val="single"/>
          <w:shd w:val="clear" w:color="auto" w:fill="FFFFFF"/>
        </w:rPr>
        <w:t xml:space="preserve">  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电子信箱：</w:t>
      </w:r>
      <w:r>
        <w:rPr>
          <w:rFonts w:hint="eastAsia" w:ascii="仿宋" w:hAnsi="仿宋" w:eastAsia="仿宋" w:cs="仿宋"/>
          <w:color w:val="auto"/>
          <w:szCs w:val="21"/>
          <w:highlight w:val="none"/>
          <w:u w:val="single"/>
          <w:shd w:val="clear" w:color="auto" w:fill="FFFFFF"/>
        </w:rPr>
        <w:t xml:space="preserve">   </w:t>
      </w:r>
    </w:p>
    <w:p>
      <w:p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开户银行：</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 xml:space="preserve">  开户银行：</w:t>
      </w:r>
      <w:r>
        <w:rPr>
          <w:rFonts w:hint="eastAsia" w:ascii="仿宋" w:hAnsi="仿宋" w:eastAsia="仿宋" w:cs="仿宋"/>
          <w:color w:val="auto"/>
          <w:szCs w:val="21"/>
          <w:highlight w:val="none"/>
          <w:u w:val="single"/>
          <w:shd w:val="clear" w:color="auto" w:fill="FFFFFF"/>
        </w:rPr>
        <w:t xml:space="preserve">   </w:t>
      </w:r>
    </w:p>
    <w:p>
      <w:pPr>
        <w:adjustRightInd w:val="0"/>
        <w:snapToGrid w:val="0"/>
        <w:spacing w:line="360" w:lineRule="auto"/>
        <w:rPr>
          <w:rFonts w:hint="eastAsia" w:ascii="仿宋" w:hAnsi="仿宋" w:eastAsia="仿宋" w:cs="仿宋"/>
          <w:b/>
          <w:color w:val="auto"/>
          <w:szCs w:val="21"/>
          <w:highlight w:val="none"/>
          <w:shd w:val="clear" w:color="auto" w:fill="FFFFFF"/>
        </w:rPr>
      </w:pPr>
      <w:r>
        <w:rPr>
          <w:rFonts w:hint="eastAsia" w:ascii="仿宋" w:hAnsi="仿宋" w:eastAsia="仿宋" w:cs="仿宋"/>
          <w:color w:val="auto"/>
          <w:szCs w:val="21"/>
          <w:highlight w:val="none"/>
          <w:shd w:val="clear" w:color="auto" w:fill="FFFFFF"/>
        </w:rPr>
        <w:t>账  号：</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 xml:space="preserve">   账  号：</w:t>
      </w:r>
      <w:r>
        <w:rPr>
          <w:rFonts w:hint="eastAsia" w:ascii="仿宋" w:hAnsi="仿宋" w:eastAsia="仿宋" w:cs="仿宋"/>
          <w:color w:val="auto"/>
          <w:szCs w:val="21"/>
          <w:highlight w:val="none"/>
          <w:u w:val="single"/>
          <w:shd w:val="clear" w:color="auto" w:fill="FFFFFF"/>
        </w:rPr>
        <w:t xml:space="preserve">     </w:t>
      </w:r>
    </w:p>
    <w:p>
      <w:pPr>
        <w:spacing w:line="360" w:lineRule="auto"/>
        <w:rPr>
          <w:rFonts w:hint="eastAsia" w:ascii="仿宋_GB2312" w:hAnsi="仿宋_GB2312" w:eastAsia="仿宋_GB2312" w:cs="仿宋_GB2312"/>
          <w:color w:val="auto"/>
          <w:highlight w:val="none"/>
        </w:rPr>
      </w:pPr>
    </w:p>
    <w:p>
      <w:pPr>
        <w:autoSpaceDE w:val="0"/>
        <w:autoSpaceDN w:val="0"/>
        <w:adjustRightInd w:val="0"/>
        <w:spacing w:line="360" w:lineRule="auto"/>
        <w:jc w:val="center"/>
        <w:rPr>
          <w:rFonts w:hint="eastAsia" w:ascii="仿宋_GB2312" w:hAnsi="仿宋_GB2312" w:eastAsia="仿宋_GB2312" w:cs="仿宋_GB2312"/>
          <w:color w:val="auto"/>
          <w:highlight w:val="none"/>
        </w:rPr>
      </w:pPr>
    </w:p>
    <w:p>
      <w:pPr>
        <w:autoSpaceDE w:val="0"/>
        <w:autoSpaceDN w:val="0"/>
        <w:adjustRightInd w:val="0"/>
        <w:spacing w:line="360" w:lineRule="auto"/>
        <w:jc w:val="center"/>
        <w:rPr>
          <w:rFonts w:hint="eastAsia" w:ascii="仿宋_GB2312" w:hAnsi="仿宋_GB2312" w:eastAsia="仿宋_GB2312" w:cs="仿宋_GB2312"/>
          <w:color w:val="auto"/>
          <w:highlight w:val="none"/>
        </w:rPr>
      </w:pPr>
    </w:p>
    <w:p>
      <w:pPr>
        <w:autoSpaceDE w:val="0"/>
        <w:autoSpaceDN w:val="0"/>
        <w:adjustRightInd w:val="0"/>
        <w:spacing w:line="360" w:lineRule="auto"/>
        <w:jc w:val="center"/>
        <w:rPr>
          <w:rFonts w:hint="eastAsia" w:ascii="仿宋_GB2312" w:hAnsi="仿宋_GB2312" w:eastAsia="仿宋_GB2312" w:cs="仿宋_GB2312"/>
          <w:color w:val="auto"/>
          <w:highlight w:val="none"/>
        </w:rPr>
      </w:pPr>
    </w:p>
    <w:p>
      <w:pPr>
        <w:pStyle w:val="37"/>
        <w:spacing w:line="360" w:lineRule="auto"/>
        <w:jc w:val="center"/>
        <w:outlineLvl w:val="1"/>
        <w:rPr>
          <w:rFonts w:hint="eastAsia" w:ascii="仿宋_GB2312" w:hAnsi="仿宋_GB2312" w:eastAsia="仿宋_GB2312" w:cs="仿宋_GB2312"/>
          <w:b/>
          <w:color w:val="auto"/>
          <w:w w:val="99"/>
          <w:highlight w:val="none"/>
        </w:rPr>
      </w:pPr>
      <w:bookmarkStart w:id="33" w:name="_Toc528"/>
      <w:r>
        <w:rPr>
          <w:rFonts w:hint="eastAsia" w:ascii="仿宋_GB2312" w:hAnsi="仿宋_GB2312" w:eastAsia="仿宋_GB2312" w:cs="仿宋_GB2312"/>
          <w:b/>
          <w:color w:val="auto"/>
          <w:w w:val="99"/>
          <w:highlight w:val="none"/>
        </w:rPr>
        <w:t>第二部分 通用合同条款</w:t>
      </w:r>
      <w:bookmarkEnd w:id="33"/>
    </w:p>
    <w:p>
      <w:pPr>
        <w:pStyle w:val="41"/>
        <w:spacing w:line="360" w:lineRule="auto"/>
        <w:ind w:firstLine="0"/>
        <w:jc w:val="center"/>
        <w:rPr>
          <w:rFonts w:hint="eastAsia" w:hAnsi="仿宋_GB2312" w:cs="仿宋_GB2312"/>
          <w:color w:val="auto"/>
          <w:sz w:val="24"/>
          <w:highlight w:val="none"/>
        </w:rPr>
      </w:pPr>
      <w:r>
        <w:rPr>
          <w:rFonts w:hint="eastAsia" w:hAnsi="仿宋_GB2312" w:cs="仿宋_GB2312"/>
          <w:color w:val="auto"/>
          <w:sz w:val="24"/>
          <w:highlight w:val="none"/>
        </w:rPr>
        <w:t>详见《建设工程施工合同》（GF—2017—0201）</w:t>
      </w:r>
    </w:p>
    <w:p>
      <w:pPr>
        <w:pStyle w:val="6"/>
        <w:spacing w:before="0" w:after="0" w:line="360" w:lineRule="auto"/>
        <w:jc w:val="center"/>
        <w:rPr>
          <w:rFonts w:hint="eastAsia" w:ascii="仿宋_GB2312" w:hAnsi="仿宋_GB2312" w:eastAsia="仿宋_GB2312" w:cs="仿宋_GB2312"/>
          <w:color w:val="auto"/>
          <w:w w:val="99"/>
          <w:sz w:val="24"/>
          <w:szCs w:val="24"/>
          <w:highlight w:val="none"/>
        </w:rPr>
      </w:pPr>
      <w:bookmarkStart w:id="34" w:name="_Toc2020"/>
      <w:r>
        <w:rPr>
          <w:rFonts w:hint="eastAsia" w:ascii="仿宋_GB2312" w:hAnsi="仿宋_GB2312" w:eastAsia="仿宋_GB2312" w:cs="仿宋_GB2312"/>
          <w:color w:val="auto"/>
          <w:w w:val="99"/>
          <w:sz w:val="24"/>
          <w:szCs w:val="24"/>
          <w:highlight w:val="none"/>
        </w:rPr>
        <w:t>第三部分  专用合同条款</w:t>
      </w:r>
      <w:bookmarkEnd w:id="34"/>
    </w:p>
    <w:p>
      <w:pPr>
        <w:spacing w:line="360" w:lineRule="auto"/>
        <w:rPr>
          <w:rFonts w:hint="eastAsia" w:ascii="仿宋_GB2312" w:hAnsi="仿宋_GB2312" w:eastAsia="仿宋_GB2312" w:cs="仿宋_GB2312"/>
          <w:b/>
          <w:color w:val="auto"/>
          <w:highlight w:val="none"/>
        </w:rPr>
      </w:pP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1.一般约定</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1.1 词语定义</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1.1.1合同</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szCs w:val="21"/>
          <w:highlight w:val="none"/>
          <w:shd w:val="clear" w:color="auto" w:fill="FFFFFF"/>
        </w:rPr>
        <w:t>1.1.1.10 其他合同文件包括：</w:t>
      </w:r>
      <w:r>
        <w:rPr>
          <w:rFonts w:hint="eastAsia" w:ascii="仿宋" w:hAnsi="仿宋" w:eastAsia="仿宋" w:cs="仿宋"/>
          <w:color w:val="auto"/>
          <w:szCs w:val="21"/>
          <w:highlight w:val="none"/>
          <w:u w:val="single"/>
          <w:shd w:val="clear" w:color="auto" w:fill="FFFFFF"/>
        </w:rPr>
        <w:t>招标文件（含施工图纸）及招标答疑文件、投标文件（含已标价工程量清单）及其附件、工程质量保修书、安全目标责任书以及合同各方当事人就该项合同文件所签署协议、补充、修改、洽商、图纸会审记录、变更、技术核定单、签证、工作联系单、业主及发包人指定、认质认价单、纪要、信函、备忘录；现场监理及发包方确认的分部分项工程专项施工方案和专项设计方案等。</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1.1.2 合同当事人及其他相关方</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1.1.2.4监理人：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名称：；</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资质类别和等级：</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w:t>
      </w:r>
      <w:r>
        <w:rPr>
          <w:rFonts w:hint="eastAsia" w:ascii="仿宋" w:hAnsi="仿宋" w:eastAsia="仿宋" w:cs="仿宋"/>
          <w:color w:val="auto"/>
          <w:szCs w:val="21"/>
          <w:highlight w:val="none"/>
          <w:u w:val="single"/>
          <w:shd w:val="clear" w:color="auto" w:fill="FFFFFF"/>
        </w:rPr>
        <w:t>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通信地址：</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1.1.2.5 设计人：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名称：；</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资质类别和等级</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w:t>
      </w:r>
      <w:r>
        <w:rPr>
          <w:rFonts w:hint="eastAsia" w:ascii="仿宋" w:hAnsi="仿宋" w:eastAsia="仿宋" w:cs="仿宋"/>
          <w:color w:val="auto"/>
          <w:szCs w:val="21"/>
          <w:highlight w:val="none"/>
          <w:u w:val="single"/>
          <w:shd w:val="clear" w:color="auto" w:fill="FFFFFF"/>
        </w:rPr>
        <w:t>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r>
        <w:rPr>
          <w:rFonts w:hint="eastAsia" w:ascii="仿宋" w:hAnsi="仿宋" w:eastAsia="仿宋" w:cs="仿宋"/>
          <w:color w:val="auto"/>
          <w:szCs w:val="21"/>
          <w:highlight w:val="none"/>
          <w:u w:val="single"/>
          <w:shd w:val="clear" w:color="auto" w:fill="FFFFFF"/>
        </w:rPr>
        <w:t>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通信地址：</w:t>
      </w:r>
      <w:r>
        <w:rPr>
          <w:rFonts w:hint="eastAsia" w:ascii="仿宋" w:hAnsi="仿宋" w:eastAsia="仿宋" w:cs="仿宋"/>
          <w:color w:val="auto"/>
          <w:szCs w:val="21"/>
          <w:highlight w:val="none"/>
          <w:u w:val="single"/>
          <w:shd w:val="clear" w:color="auto" w:fill="FFFFFF"/>
        </w:rPr>
        <w:t>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1.1.3 工程和设备</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1.1.3.7 作为施工现场组成部分的其他场所也包含在合同总价内，由承包人负责，包括：</w:t>
      </w:r>
      <w:r>
        <w:rPr>
          <w:rFonts w:hint="eastAsia" w:ascii="仿宋" w:hAnsi="仿宋" w:eastAsia="仿宋" w:cs="仿宋"/>
          <w:color w:val="auto"/>
          <w:szCs w:val="21"/>
          <w:highlight w:val="none"/>
          <w:u w:val="single"/>
          <w:shd w:val="clear" w:color="auto" w:fill="FFFFFF"/>
        </w:rPr>
        <w:t>为完成本合同约定的永久工程所修建的施工用地、临时道路、供水、供电、生活用房、生产用房、办公用房及设施等临时性工程。现场临设建设标准应严格执行《郑东新区建筑工地扬尘污染治理标准化实施指南》要求。项目临设中应提供监理和全过程跟踪审计办公室，项目所需的施工方管理用房及施工方管理人员及工人住宿用房由投标人自行考虑。</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1.1.3.8 临时设施：</w:t>
      </w:r>
      <w:r>
        <w:rPr>
          <w:rFonts w:hint="eastAsia" w:ascii="仿宋" w:hAnsi="仿宋" w:eastAsia="仿宋" w:cs="仿宋"/>
          <w:color w:val="auto"/>
          <w:szCs w:val="21"/>
          <w:highlight w:val="none"/>
          <w:u w:val="single"/>
          <w:shd w:val="clear" w:color="auto" w:fill="FFFFFF"/>
        </w:rPr>
        <w:t>此项费用包含在合同价内，发包人不再另行支付。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1.1.3.9 永久占地包括：</w:t>
      </w:r>
      <w:r>
        <w:rPr>
          <w:rFonts w:hint="eastAsia" w:ascii="仿宋" w:hAnsi="仿宋" w:eastAsia="仿宋" w:cs="仿宋"/>
          <w:color w:val="auto"/>
          <w:szCs w:val="21"/>
          <w:highlight w:val="none"/>
          <w:u w:val="single"/>
          <w:shd w:val="clear" w:color="auto" w:fill="FFFFFF"/>
        </w:rPr>
        <w:t>依据设计图纸确定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1.1.3.10 临时占地包括：</w:t>
      </w:r>
      <w:r>
        <w:rPr>
          <w:rFonts w:hint="eastAsia" w:ascii="仿宋" w:hAnsi="仿宋" w:eastAsia="仿宋" w:cs="仿宋"/>
          <w:color w:val="auto"/>
          <w:szCs w:val="21"/>
          <w:highlight w:val="none"/>
          <w:u w:val="single"/>
          <w:shd w:val="clear" w:color="auto" w:fill="FFFFFF"/>
        </w:rPr>
        <w:t>根据现场实际需要，承包人自行临时租用的生活、生产及房屋设施（含临时征地），费用包含在合同价内，发包人不再另行支付。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1.3法律</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适用于合同的其他规范性文件：</w:t>
      </w:r>
      <w:r>
        <w:rPr>
          <w:rFonts w:hint="eastAsia" w:ascii="仿宋" w:hAnsi="仿宋" w:eastAsia="仿宋" w:cs="仿宋"/>
          <w:color w:val="auto"/>
          <w:szCs w:val="21"/>
          <w:highlight w:val="none"/>
          <w:u w:val="single"/>
          <w:shd w:val="clear" w:color="auto" w:fill="FFFFFF"/>
        </w:rPr>
        <w:t>国家、河南省、郑州市现行的有关法律、法规、规章及其它相关规范性文件</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 标准和规范</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1.4.1适用于工程的标准规范包括</w:t>
      </w:r>
      <w:r>
        <w:rPr>
          <w:rFonts w:hint="eastAsia" w:ascii="仿宋" w:hAnsi="仿宋" w:eastAsia="仿宋" w:cs="仿宋"/>
          <w:color w:val="auto"/>
          <w:szCs w:val="21"/>
          <w:highlight w:val="none"/>
          <w:u w:val="single"/>
          <w:shd w:val="clear" w:color="auto" w:fill="FFFFFF"/>
        </w:rPr>
        <w:t>：国家现行的施工及验收规范、质量检验评定标准等。施工期间，如有新版的规范或标准颁布，原则上应执行新版的规范或标准，但应经过发包人同意。</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 xml:space="preserve">1.4.2 </w:t>
      </w:r>
      <w:r>
        <w:rPr>
          <w:rFonts w:hint="eastAsia" w:ascii="仿宋" w:hAnsi="仿宋" w:eastAsia="仿宋" w:cs="仿宋"/>
          <w:color w:val="auto"/>
          <w:szCs w:val="21"/>
          <w:highlight w:val="none"/>
          <w:shd w:val="clear" w:color="auto" w:fill="FFFFFF"/>
        </w:rPr>
        <w:t>发包人提供国外标准、规范的名称：</w:t>
      </w:r>
      <w:r>
        <w:rPr>
          <w:rFonts w:hint="eastAsia" w:ascii="仿宋" w:hAnsi="仿宋" w:eastAsia="仿宋" w:cs="仿宋"/>
          <w:color w:val="auto"/>
          <w:kern w:val="0"/>
          <w:szCs w:val="21"/>
          <w:highlight w:val="none"/>
          <w:u w:val="single"/>
          <w:shd w:val="clear" w:color="auto" w:fill="FFFFFF"/>
        </w:rPr>
        <w:t xml:space="preserve">/ </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1.4.3 发包人对工程的技术标准和功能要求的特殊要求：</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1.5 合同文件的优先顺序</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szCs w:val="21"/>
          <w:highlight w:val="none"/>
          <w:shd w:val="clear" w:color="auto" w:fill="FFFFFF"/>
        </w:rPr>
        <w:t>合同文件组成及优先顺序为：</w:t>
      </w:r>
      <w:r>
        <w:rPr>
          <w:rFonts w:hint="eastAsia" w:ascii="仿宋" w:hAnsi="仿宋" w:eastAsia="仿宋" w:cs="仿宋"/>
          <w:color w:val="auto"/>
          <w:szCs w:val="21"/>
          <w:highlight w:val="none"/>
          <w:u w:val="single"/>
          <w:shd w:val="clear" w:color="auto" w:fill="FFFFFF"/>
        </w:rPr>
        <w:t>执行合同协议书约定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1.6 图纸和承包人文件</w:t>
      </w:r>
      <w:r>
        <w:rPr>
          <w:rFonts w:hint="eastAsia" w:ascii="仿宋" w:hAnsi="仿宋" w:eastAsia="仿宋" w:cs="仿宋"/>
          <w:color w:val="auto"/>
          <w:szCs w:val="21"/>
          <w:highlight w:val="none"/>
          <w:shd w:val="clear" w:color="auto" w:fill="FFFFFF"/>
        </w:rPr>
        <w:tab/>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1.6.1 图纸的提供</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发包人向承包人提供图纸的期限：</w:t>
      </w:r>
      <w:r>
        <w:rPr>
          <w:rFonts w:hint="eastAsia" w:ascii="仿宋" w:hAnsi="仿宋" w:eastAsia="仿宋" w:cs="仿宋"/>
          <w:color w:val="auto"/>
          <w:kern w:val="0"/>
          <w:szCs w:val="21"/>
          <w:highlight w:val="none"/>
          <w:u w:val="single"/>
          <w:shd w:val="clear" w:color="auto" w:fill="FFFFFF"/>
        </w:rPr>
        <w:t>合同签订后</w:t>
      </w:r>
      <w:r>
        <w:rPr>
          <w:rFonts w:hint="eastAsia" w:ascii="仿宋" w:hAnsi="仿宋" w:eastAsia="仿宋" w:cs="仿宋"/>
          <w:color w:val="auto"/>
          <w:szCs w:val="21"/>
          <w:highlight w:val="none"/>
          <w:u w:val="single"/>
          <w:shd w:val="clear" w:color="auto" w:fill="FFFFFF"/>
        </w:rPr>
        <w:t>7日内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发包人向承包人提供图纸的数量：</w:t>
      </w:r>
      <w:r>
        <w:rPr>
          <w:rFonts w:hint="eastAsia" w:ascii="仿宋" w:hAnsi="仿宋" w:eastAsia="仿宋" w:cs="仿宋"/>
          <w:color w:val="auto"/>
          <w:szCs w:val="21"/>
          <w:highlight w:val="none"/>
          <w:u w:val="single"/>
          <w:shd w:val="clear" w:color="auto" w:fill="FFFFFF"/>
          <w:lang w:val="en-US" w:eastAsia="zh-CN"/>
        </w:rPr>
        <w:t>1</w:t>
      </w:r>
      <w:r>
        <w:rPr>
          <w:rFonts w:hint="eastAsia" w:ascii="仿宋" w:hAnsi="仿宋" w:eastAsia="仿宋" w:cs="仿宋"/>
          <w:color w:val="auto"/>
          <w:szCs w:val="21"/>
          <w:highlight w:val="none"/>
          <w:u w:val="single"/>
          <w:shd w:val="clear" w:color="auto" w:fill="FFFFFF"/>
        </w:rPr>
        <w:t xml:space="preserve">套，后续如确实需要，承包人自行购买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发包人向承包人提供图纸的内容：</w:t>
      </w:r>
      <w:r>
        <w:rPr>
          <w:rFonts w:hint="eastAsia" w:ascii="仿宋" w:hAnsi="仿宋" w:eastAsia="仿宋" w:cs="仿宋"/>
          <w:color w:val="auto"/>
          <w:kern w:val="0"/>
          <w:szCs w:val="21"/>
          <w:highlight w:val="none"/>
          <w:u w:val="single"/>
          <w:shd w:val="clear" w:color="auto" w:fill="FFFFFF"/>
        </w:rPr>
        <w:t>与承包人承包范围相对应的图纸</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1.6.4 承包人文件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需要由承包人提供的文件，包括</w:t>
      </w:r>
      <w:r>
        <w:rPr>
          <w:rFonts w:hint="eastAsia" w:ascii="仿宋" w:hAnsi="仿宋" w:eastAsia="仿宋" w:cs="仿宋"/>
          <w:color w:val="auto"/>
          <w:kern w:val="0"/>
          <w:szCs w:val="21"/>
          <w:highlight w:val="none"/>
          <w:u w:val="single"/>
          <w:shd w:val="clear" w:color="auto" w:fill="FFFFFF"/>
        </w:rPr>
        <w:t>：施工总进度计划及施工组织设计、施工（安全）专项方案、</w:t>
      </w:r>
      <w:r>
        <w:rPr>
          <w:rFonts w:hint="eastAsia" w:ascii="仿宋" w:hAnsi="仿宋" w:eastAsia="仿宋" w:cs="仿宋"/>
          <w:color w:val="auto"/>
          <w:szCs w:val="21"/>
          <w:highlight w:val="none"/>
          <w:u w:val="single"/>
          <w:shd w:val="clear" w:color="auto" w:fill="FFFFFF"/>
        </w:rPr>
        <w:t>扬尘治理专项方案、总进度计划表、人员和机械计划</w:t>
      </w:r>
      <w:r>
        <w:rPr>
          <w:rFonts w:hint="eastAsia" w:ascii="仿宋" w:hAnsi="仿宋" w:eastAsia="仿宋" w:cs="仿宋"/>
          <w:color w:val="auto"/>
          <w:kern w:val="0"/>
          <w:szCs w:val="21"/>
          <w:highlight w:val="none"/>
          <w:u w:val="single"/>
          <w:shd w:val="clear" w:color="auto" w:fill="FFFFFF"/>
        </w:rPr>
        <w:t>，相关政府部门、发包人、监理人要求承包人提供报送的其他相关文件等。</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承包人提供的文件的期限为：</w:t>
      </w:r>
      <w:r>
        <w:rPr>
          <w:rFonts w:hint="eastAsia" w:ascii="仿宋" w:hAnsi="仿宋" w:eastAsia="仿宋" w:cs="仿宋"/>
          <w:color w:val="auto"/>
          <w:kern w:val="0"/>
          <w:szCs w:val="21"/>
          <w:highlight w:val="none"/>
          <w:u w:val="single"/>
          <w:shd w:val="clear" w:color="auto" w:fill="FFFFFF"/>
        </w:rPr>
        <w:t>该文件使用前 7 天</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承包人提供的文件的数量为：</w:t>
      </w:r>
      <w:r>
        <w:rPr>
          <w:rFonts w:hint="eastAsia" w:ascii="仿宋" w:hAnsi="仿宋" w:eastAsia="仿宋" w:cs="仿宋"/>
          <w:color w:val="auto"/>
          <w:kern w:val="0"/>
          <w:szCs w:val="21"/>
          <w:highlight w:val="none"/>
          <w:u w:val="single"/>
          <w:shd w:val="clear" w:color="auto" w:fill="FFFFFF"/>
        </w:rPr>
        <w:t>一式陆份</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承包人提供的文件的形式为：</w:t>
      </w:r>
      <w:r>
        <w:rPr>
          <w:rFonts w:hint="eastAsia" w:ascii="仿宋" w:hAnsi="仿宋" w:eastAsia="仿宋" w:cs="仿宋"/>
          <w:color w:val="auto"/>
          <w:kern w:val="0"/>
          <w:szCs w:val="21"/>
          <w:highlight w:val="none"/>
          <w:u w:val="single"/>
          <w:shd w:val="clear" w:color="auto" w:fill="FFFFFF"/>
        </w:rPr>
        <w:t>纸质及电子文件</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发包人审批承包人文件的期限：</w:t>
      </w:r>
      <w:r>
        <w:rPr>
          <w:rFonts w:hint="eastAsia" w:ascii="仿宋" w:hAnsi="仿宋" w:eastAsia="仿宋" w:cs="仿宋"/>
          <w:color w:val="auto"/>
          <w:kern w:val="0"/>
          <w:szCs w:val="21"/>
          <w:highlight w:val="none"/>
          <w:u w:val="single"/>
          <w:shd w:val="clear" w:color="auto" w:fill="FFFFFF"/>
        </w:rPr>
        <w:t>收到承包人文件后7个工作日内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1.6.5 现场图纸准备</w:t>
      </w:r>
    </w:p>
    <w:p>
      <w:pPr>
        <w:adjustRightInd w:val="0"/>
        <w:snapToGrid w:val="0"/>
        <w:spacing w:line="360" w:lineRule="auto"/>
        <w:ind w:firstLine="480" w:firstLineChars="200"/>
        <w:jc w:val="left"/>
        <w:rPr>
          <w:rFonts w:hint="eastAsia" w:ascii="仿宋" w:hAnsi="仿宋" w:eastAsia="仿宋" w:cs="仿宋"/>
          <w:color w:val="auto"/>
          <w:highlight w:val="none"/>
          <w:shd w:val="clear" w:color="auto" w:fill="FFFFFF"/>
        </w:rPr>
      </w:pPr>
      <w:r>
        <w:rPr>
          <w:rFonts w:hint="eastAsia" w:ascii="仿宋" w:hAnsi="仿宋" w:eastAsia="仿宋" w:cs="仿宋"/>
          <w:color w:val="auto"/>
          <w:szCs w:val="21"/>
          <w:highlight w:val="none"/>
          <w:shd w:val="clear" w:color="auto" w:fill="FFFFFF"/>
        </w:rPr>
        <w:t>关于现场图纸准备的约定：</w:t>
      </w:r>
      <w:r>
        <w:rPr>
          <w:rFonts w:hint="eastAsia" w:ascii="仿宋" w:hAnsi="仿宋" w:eastAsia="仿宋" w:cs="仿宋"/>
          <w:color w:val="auto"/>
          <w:szCs w:val="21"/>
          <w:highlight w:val="none"/>
          <w:u w:val="single"/>
          <w:shd w:val="clear" w:color="auto" w:fill="FFFFFF"/>
        </w:rPr>
        <w:t xml:space="preserve"> 承包人应在施工现场随时准备一套完整的图纸和承包人文件，供发包人及有关人员进行工程检查时使用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1.7 联络</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1.7.1 发包人和承包人应当在</w:t>
      </w:r>
      <w:r>
        <w:rPr>
          <w:rFonts w:hint="eastAsia" w:ascii="仿宋" w:hAnsi="仿宋" w:eastAsia="仿宋" w:cs="仿宋"/>
          <w:b/>
          <w:bCs/>
          <w:color w:val="auto"/>
          <w:szCs w:val="21"/>
          <w:highlight w:val="none"/>
          <w:u w:val="single"/>
          <w:shd w:val="clear" w:color="auto" w:fill="FFFFFF"/>
        </w:rPr>
        <w:t xml:space="preserve"> 7</w:t>
      </w:r>
      <w:r>
        <w:rPr>
          <w:rFonts w:hint="eastAsia" w:ascii="仿宋" w:hAnsi="仿宋" w:eastAsia="仿宋" w:cs="仿宋"/>
          <w:color w:val="auto"/>
          <w:szCs w:val="21"/>
          <w:highlight w:val="none"/>
          <w:shd w:val="clear" w:color="auto" w:fill="FFFFFF"/>
        </w:rPr>
        <w:t>天内将与合同有关的通知、批准、证明、证书、指示、指令、要求、请求、同意、意见、确定和决定等书面函件送达对方当事人。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1.7.2发包人接收文件的地点：</w:t>
      </w:r>
      <w:r>
        <w:rPr>
          <w:rFonts w:hint="eastAsia" w:ascii="仿宋" w:hAnsi="仿宋" w:eastAsia="仿宋" w:cs="仿宋"/>
          <w:color w:val="auto"/>
          <w:szCs w:val="21"/>
          <w:highlight w:val="none"/>
          <w:u w:val="single"/>
          <w:shd w:val="clear" w:color="auto" w:fill="FFFFFF"/>
        </w:rPr>
        <w:t>施工现场发包人办公地点</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1080" w:firstLineChars="4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发包人指定的接收人为：</w:t>
      </w:r>
      <w:r>
        <w:rPr>
          <w:rFonts w:hint="eastAsia" w:ascii="仿宋" w:hAnsi="仿宋" w:eastAsia="仿宋" w:cs="仿宋"/>
          <w:color w:val="auto"/>
          <w:szCs w:val="21"/>
          <w:highlight w:val="none"/>
          <w:u w:val="single"/>
          <w:shd w:val="clear" w:color="auto" w:fill="FFFFFF"/>
        </w:rPr>
        <w:t>基建处工程科负责人</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1080" w:firstLineChars="4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承包人接收文件的地点：</w:t>
      </w:r>
      <w:r>
        <w:rPr>
          <w:rFonts w:hint="eastAsia" w:ascii="仿宋" w:hAnsi="仿宋" w:eastAsia="仿宋" w:cs="仿宋"/>
          <w:color w:val="auto"/>
          <w:szCs w:val="21"/>
          <w:highlight w:val="none"/>
          <w:u w:val="single"/>
          <w:shd w:val="clear" w:color="auto" w:fill="FFFFFF"/>
        </w:rPr>
        <w:t>施工现场承包人办公地点或者发包人办公地点</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1080" w:firstLineChars="4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承包人指定的接收人为：</w:t>
      </w:r>
      <w:r>
        <w:rPr>
          <w:rFonts w:hint="eastAsia" w:ascii="仿宋" w:hAnsi="仿宋" w:eastAsia="仿宋" w:cs="仿宋"/>
          <w:color w:val="auto"/>
          <w:szCs w:val="21"/>
          <w:highlight w:val="none"/>
          <w:u w:val="single"/>
          <w:shd w:val="clear" w:color="auto" w:fill="FFFFFF"/>
        </w:rPr>
        <w:t xml:space="preserve">合同协议书中载明的承包人项目经理本人或者项目经理的授权代表。除合同另有约定外，承包人施工场地管理机构的办公点即为承包人指定的接收地点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1080" w:firstLineChars="4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监理人接收文件的地点：</w:t>
      </w:r>
      <w:r>
        <w:rPr>
          <w:rFonts w:hint="eastAsia" w:ascii="仿宋" w:hAnsi="仿宋" w:eastAsia="仿宋" w:cs="仿宋"/>
          <w:color w:val="auto"/>
          <w:szCs w:val="21"/>
          <w:highlight w:val="none"/>
          <w:u w:val="single"/>
          <w:shd w:val="clear" w:color="auto" w:fill="FFFFFF"/>
        </w:rPr>
        <w:t>施工现场监理办公室</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1080" w:firstLineChars="4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监理人指定的接收人为：</w:t>
      </w:r>
      <w:r>
        <w:rPr>
          <w:rFonts w:hint="eastAsia" w:ascii="仿宋" w:hAnsi="仿宋" w:eastAsia="仿宋" w:cs="仿宋"/>
          <w:color w:val="auto"/>
          <w:szCs w:val="21"/>
          <w:highlight w:val="none"/>
          <w:u w:val="single"/>
          <w:shd w:val="clear" w:color="auto" w:fill="FFFFFF"/>
        </w:rPr>
        <w:t>总监或者总监代表</w:t>
      </w:r>
      <w:r>
        <w:rPr>
          <w:rFonts w:hint="eastAsia" w:ascii="仿宋" w:hAnsi="仿宋" w:eastAsia="仿宋" w:cs="仿宋"/>
          <w:color w:val="auto"/>
          <w:szCs w:val="21"/>
          <w:highlight w:val="none"/>
          <w:shd w:val="clear" w:color="auto" w:fill="FFFFFF"/>
        </w:rPr>
        <w:t>。</w:t>
      </w:r>
    </w:p>
    <w:p>
      <w:pPr>
        <w:spacing w:after="120" w:line="360" w:lineRule="exact"/>
        <w:ind w:firstLine="482" w:firstLineChars="200"/>
        <w:jc w:val="left"/>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1.8严禁贿赂</w:t>
      </w:r>
    </w:p>
    <w:p>
      <w:pPr>
        <w:spacing w:after="120" w:line="360" w:lineRule="exact"/>
        <w:ind w:firstLine="480" w:firstLineChars="200"/>
        <w:jc w:val="left"/>
        <w:rPr>
          <w:rFonts w:hint="eastAsia" w:ascii="仿宋" w:hAnsi="仿宋" w:eastAsia="仿宋" w:cs="仿宋"/>
          <w:color w:val="auto"/>
          <w:highlight w:val="none"/>
          <w:shd w:val="clear" w:color="auto" w:fill="FFFFFF"/>
        </w:rPr>
      </w:pPr>
      <w:r>
        <w:rPr>
          <w:rFonts w:hint="eastAsia" w:ascii="仿宋" w:hAnsi="仿宋" w:eastAsia="仿宋" w:cs="仿宋"/>
          <w:color w:val="auto"/>
          <w:szCs w:val="21"/>
          <w:highlight w:val="none"/>
          <w:shd w:val="clear" w:color="auto" w:fill="FFFFFF"/>
        </w:rPr>
        <w:t>承包人不得贿赂拉拢监理人、发包人的相关人员，严禁发生正常工作以外的任何不正当联系，发生一起经查实承包人承担100万元违约金。</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1.10 交通运输</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1.10.1 出入现场的权利</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关于出入现场的权利的约定：</w:t>
      </w:r>
      <w:r>
        <w:rPr>
          <w:rFonts w:hint="eastAsia" w:ascii="仿宋" w:hAnsi="仿宋" w:eastAsia="仿宋" w:cs="仿宋"/>
          <w:color w:val="auto"/>
          <w:szCs w:val="21"/>
          <w:highlight w:val="none"/>
          <w:u w:val="single"/>
          <w:shd w:val="clear" w:color="auto" w:fill="FFFFFF"/>
        </w:rPr>
        <w:t>相关费用包含在合同价内，发包人不再另行支付。承包人应查勘施工现场，并根据工程规模以及项目所在学校的区域、学校的特殊性等合理预见工程施工所需的施工现场的方式、手段、路径等，并承担相应费用。因承包人未合理预见所增加的费用和（或）延误的工期由承包人承担。</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1.10.2 场外交通承包人应遵守有关交通法规，由承包人原因造成的事故和伤害，由此发生的一切费用，由承包人负责，发包人不承担任何责任。</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1.10.3 场内交通</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关于场外交通和场内交通的边界的约定</w:t>
      </w:r>
      <w:r>
        <w:rPr>
          <w:rFonts w:hint="eastAsia" w:ascii="仿宋" w:hAnsi="仿宋" w:eastAsia="仿宋" w:cs="仿宋"/>
          <w:color w:val="auto"/>
          <w:szCs w:val="21"/>
          <w:highlight w:val="none"/>
          <w:u w:val="single"/>
          <w:shd w:val="clear" w:color="auto" w:fill="FFFFFF"/>
        </w:rPr>
        <w:t>：以施工现场封闭围挡为界。</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关于发包人向承包人免费提供满足工程施工需要的场内道路和交通设施的约定：</w:t>
      </w:r>
      <w:r>
        <w:rPr>
          <w:rFonts w:hint="eastAsia" w:ascii="仿宋" w:hAnsi="仿宋" w:eastAsia="仿宋" w:cs="仿宋"/>
          <w:color w:val="auto"/>
          <w:szCs w:val="21"/>
          <w:highlight w:val="none"/>
          <w:u w:val="single"/>
          <w:shd w:val="clear" w:color="auto" w:fill="FFFFFF"/>
        </w:rPr>
        <w:t>场内道路由承包人自行修建，相关费用包含在合同价内，发包人不再另行支付。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因承包人原因造成校园内、封闭围挡外道路损坏的，承包人应负责维修并承担全部费用。</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1.10.4超大件和超重件的运输</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运输超大件或超重件所需的道路和桥梁临时加固改造费用和其他有关费用：</w:t>
      </w:r>
      <w:r>
        <w:rPr>
          <w:rFonts w:hint="eastAsia" w:ascii="仿宋" w:hAnsi="仿宋" w:eastAsia="仿宋" w:cs="仿宋"/>
          <w:color w:val="auto"/>
          <w:szCs w:val="21"/>
          <w:highlight w:val="none"/>
          <w:u w:val="single"/>
          <w:shd w:val="clear" w:color="auto" w:fill="FFFFFF"/>
        </w:rPr>
        <w:t>由承包人承担，费用包含在合同价内，发包人不再另行支付。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1.11 知识产权</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shd w:val="clear" w:color="auto" w:fill="FFFFFF"/>
        </w:rPr>
        <w:t>归发包人所有。</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关于发包人提供的上述文件的使用限制的要求：</w:t>
      </w:r>
      <w:r>
        <w:rPr>
          <w:rFonts w:hint="eastAsia" w:ascii="仿宋" w:hAnsi="仿宋" w:eastAsia="仿宋" w:cs="仿宋"/>
          <w:color w:val="auto"/>
          <w:szCs w:val="21"/>
          <w:highlight w:val="none"/>
          <w:u w:val="single"/>
          <w:shd w:val="clear" w:color="auto" w:fill="FFFFFF"/>
        </w:rPr>
        <w:t>承包人未经发包人同意，不得使用上述文件申报奖项或者公开推广宣传</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1.11.2 关于承包人为实施工程所编制文件的著作权的归属：</w:t>
      </w:r>
      <w:r>
        <w:rPr>
          <w:rFonts w:hint="eastAsia" w:ascii="仿宋" w:hAnsi="仿宋" w:eastAsia="仿宋" w:cs="仿宋"/>
          <w:color w:val="auto"/>
          <w:szCs w:val="21"/>
          <w:highlight w:val="none"/>
          <w:u w:val="single"/>
          <w:shd w:val="clear" w:color="auto" w:fill="FFFFFF"/>
        </w:rPr>
        <w:t>除署名权以外，承包人对于上述文件享有修改权和保护作品完整的权利</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关于承包人提供的上述文件的使用限制的要求：</w:t>
      </w:r>
      <w:r>
        <w:rPr>
          <w:rFonts w:hint="eastAsia" w:ascii="仿宋" w:hAnsi="仿宋" w:eastAsia="仿宋" w:cs="仿宋"/>
          <w:color w:val="auto"/>
          <w:szCs w:val="21"/>
          <w:highlight w:val="none"/>
          <w:u w:val="single"/>
          <w:shd w:val="clear" w:color="auto" w:fill="FFFFFF"/>
        </w:rPr>
        <w:t>承包人未经发包人同意，不得使用上述文件申报奖项或者公开推广宣传</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1.11.4 承包人在施工过程中所采用的专利、专有技术、技术秘密的使用费的承担方式</w:t>
      </w:r>
      <w:r>
        <w:rPr>
          <w:rFonts w:hint="eastAsia" w:ascii="仿宋" w:hAnsi="仿宋" w:eastAsia="仿宋" w:cs="仿宋"/>
          <w:color w:val="auto"/>
          <w:szCs w:val="21"/>
          <w:highlight w:val="none"/>
          <w:u w:val="single"/>
          <w:shd w:val="clear" w:color="auto" w:fill="FFFFFF"/>
        </w:rPr>
        <w:t>：包含在合同价中</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1.13工程量清单的修正</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工程量清单中工程量出现偏差时，是否调整合同价格：</w:t>
      </w:r>
      <w:r>
        <w:rPr>
          <w:rFonts w:hint="eastAsia" w:ascii="仿宋" w:hAnsi="仿宋" w:eastAsia="仿宋" w:cs="仿宋"/>
          <w:color w:val="auto"/>
          <w:szCs w:val="21"/>
          <w:highlight w:val="none"/>
          <w:u w:val="single"/>
          <w:shd w:val="clear" w:color="auto" w:fill="FFFFFF"/>
        </w:rPr>
        <w:t>调整合同价格</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lang w:eastAsia="zh-CN"/>
        </w:rPr>
      </w:pPr>
      <w:r>
        <w:rPr>
          <w:rFonts w:hint="eastAsia" w:ascii="仿宋" w:hAnsi="仿宋" w:eastAsia="仿宋" w:cs="仿宋"/>
          <w:color w:val="auto"/>
          <w:szCs w:val="21"/>
          <w:highlight w:val="none"/>
          <w:shd w:val="clear" w:color="auto" w:fill="FFFFFF"/>
        </w:rPr>
        <w:t>允许调整合同价格的工程量偏差范围：</w:t>
      </w:r>
      <w:r>
        <w:rPr>
          <w:rFonts w:hint="eastAsia" w:ascii="仿宋" w:hAnsi="仿宋" w:eastAsia="仿宋" w:cs="仿宋"/>
          <w:color w:val="auto"/>
          <w:szCs w:val="21"/>
          <w:highlight w:val="none"/>
          <w:u w:val="single"/>
          <w:shd w:val="clear" w:color="auto" w:fill="FFFFFF"/>
        </w:rPr>
        <w:t>①偏差在±5%（含±5%）以内的，招标工程量清单中的工程量（招标答疑修正后）和投标报价的综合单价均不作调整；②偏差在±5%以</w:t>
      </w:r>
      <w:r>
        <w:rPr>
          <w:rFonts w:hint="eastAsia" w:ascii="仿宋" w:hAnsi="仿宋" w:eastAsia="仿宋" w:cs="仿宋"/>
          <w:color w:val="auto"/>
          <w:szCs w:val="21"/>
          <w:highlight w:val="none"/>
          <w:u w:val="single"/>
          <w:shd w:val="clear" w:color="auto" w:fill="FFFFFF"/>
          <w:lang w:eastAsia="zh-CN"/>
        </w:rPr>
        <w:t>上</w:t>
      </w:r>
      <w:r>
        <w:rPr>
          <w:rFonts w:hint="eastAsia" w:ascii="仿宋" w:hAnsi="仿宋" w:eastAsia="仿宋" w:cs="仿宋"/>
          <w:color w:val="auto"/>
          <w:szCs w:val="21"/>
          <w:highlight w:val="none"/>
          <w:u w:val="single"/>
          <w:shd w:val="clear" w:color="auto" w:fill="FFFFFF"/>
        </w:rPr>
        <w:t>的，按实际发生的工程量清单中的工程量进行调整，但不调整投标报价的综合单价</w:t>
      </w:r>
      <w:r>
        <w:rPr>
          <w:rFonts w:hint="eastAsia" w:ascii="仿宋" w:hAnsi="仿宋" w:eastAsia="仿宋" w:cs="仿宋"/>
          <w:color w:val="auto"/>
          <w:szCs w:val="21"/>
          <w:highlight w:val="none"/>
          <w:u w:val="single"/>
          <w:shd w:val="clear" w:color="auto" w:fill="FFFFFF"/>
          <w:lang w:eastAsia="zh-CN"/>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清单漏项的项目：</w:t>
      </w:r>
      <w:r>
        <w:rPr>
          <w:rFonts w:hint="eastAsia" w:ascii="仿宋" w:hAnsi="仿宋" w:eastAsia="仿宋" w:cs="仿宋"/>
          <w:color w:val="auto"/>
          <w:szCs w:val="21"/>
          <w:highlight w:val="none"/>
          <w:u w:val="single"/>
          <w:shd w:val="clear" w:color="auto" w:fill="FFFFFF"/>
        </w:rPr>
        <w:t>(1) 投标工程量清单中有相同项目的，综合单价按相同项目的单价认定；（2）投标工程量清单中有类似项目的，综合单价按类似项目的单价认定； (3) 投标工程量清单中没有适用或类似项目的，由监理人、发包人与承包人根据国家、省、市计价规范及郑州市主管部门发布的价格信息、市场价格确定，并执行合同价与招标控制价的同比优惠率。</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2.发包人</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2.2 发包人代表</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发包人代表：</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姓名：</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身份证号：</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职务：</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通信地址：</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发包人对发包人代表的授权范围如下：</w:t>
      </w:r>
      <w:r>
        <w:rPr>
          <w:rFonts w:hint="eastAsia" w:ascii="仿宋" w:hAnsi="仿宋" w:eastAsia="仿宋" w:cs="仿宋"/>
          <w:color w:val="auto"/>
          <w:szCs w:val="21"/>
          <w:highlight w:val="none"/>
          <w:u w:val="single"/>
          <w:shd w:val="clear" w:color="auto" w:fill="FFFFFF"/>
        </w:rPr>
        <w:t>1.负责合同约定施工范围的工程管理，监督施工工序及验收；2.合同的履行，代表发包人处理与本工程建设相关的事宜，对施工组织设计、质量监督、工程量签认、进出厂材料、设备检验和使用、工程变更、工程量确认、工期顺延等事项的审核权等。发包人结合工程实际需要保留随时修改上述授权范围的权利。</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2.4 施工现场、施工条件和基础资料的提供</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2.4.1 提供施工现场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关于发包人移交施工现场的期限要求：</w:t>
      </w:r>
      <w:r>
        <w:rPr>
          <w:rFonts w:hint="eastAsia" w:ascii="仿宋" w:hAnsi="仿宋" w:eastAsia="仿宋" w:cs="仿宋"/>
          <w:color w:val="auto"/>
          <w:szCs w:val="21"/>
          <w:highlight w:val="none"/>
          <w:u w:val="single"/>
          <w:shd w:val="clear" w:color="auto" w:fill="FFFFFF"/>
        </w:rPr>
        <w:t xml:space="preserve"> 开工前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2.4.2 提供施工条件</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关于发包人应负责提供施工所需要的条件，包括：</w:t>
      </w:r>
      <w:r>
        <w:rPr>
          <w:rFonts w:hint="eastAsia" w:ascii="仿宋" w:hAnsi="仿宋" w:eastAsia="仿宋" w:cs="仿宋"/>
          <w:color w:val="auto"/>
          <w:szCs w:val="21"/>
          <w:highlight w:val="none"/>
          <w:u w:val="single"/>
          <w:shd w:val="clear" w:color="auto" w:fill="FFFFFF"/>
        </w:rPr>
        <w:t>临时用电接头位置(变压器以前的线路含变压器)由发包人负责，区域内临时线敷设及费用由承包人自理，临时用水、用电、场内临时路、通讯等由承包人负责。</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2.5 资金来源证明及支付担保</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发包人提供资金来源证明的期限要求：</w:t>
      </w:r>
      <w:r>
        <w:rPr>
          <w:rFonts w:hint="eastAsia" w:ascii="仿宋" w:hAnsi="仿宋" w:eastAsia="仿宋" w:cs="仿宋"/>
          <w:b/>
          <w:bCs/>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发包人是否提供支付担保：</w:t>
      </w:r>
      <w:r>
        <w:rPr>
          <w:rFonts w:hint="eastAsia" w:ascii="仿宋" w:hAnsi="仿宋" w:eastAsia="仿宋" w:cs="仿宋"/>
          <w:b/>
          <w:bCs/>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发包人提供支付担保的形式：</w:t>
      </w:r>
      <w:r>
        <w:rPr>
          <w:rFonts w:hint="eastAsia" w:ascii="仿宋" w:hAnsi="仿宋" w:eastAsia="仿宋" w:cs="仿宋"/>
          <w:b/>
          <w:bCs/>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2.8现场统一管理协议</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施工现场统一管理由发包人、承包人双方共同制定，相关费用含在合同价内，发包人不再另行支付。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3.承包人</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3.1 承包人的一般义务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（9）承包人提交的竣工资料的内容：</w:t>
      </w:r>
      <w:r>
        <w:rPr>
          <w:rFonts w:hint="eastAsia" w:ascii="仿宋" w:hAnsi="仿宋" w:eastAsia="仿宋" w:cs="仿宋"/>
          <w:color w:val="auto"/>
          <w:szCs w:val="21"/>
          <w:highlight w:val="none"/>
          <w:u w:val="single"/>
          <w:shd w:val="clear" w:color="auto" w:fill="FFFFFF"/>
        </w:rPr>
        <w:t>按国家、省、市相关规定和监理人的要求提供符合城建档案馆和质检监督部门要求的所有纸质、影像等资料</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具体内容包括：</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 xml:space="preserve">①工程竣工图(竣工图必须准确真实的反映实际施工情况)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②工程施工全过程原始记录及验收单</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③材料质保书、检验签证单、材料试验报告；</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④有关设计变更的技术资料；</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⑤工程施工中的检测数据、质量评定报告；</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⑥工程竣工结算的全部资料；</w:t>
      </w:r>
    </w:p>
    <w:p>
      <w:pPr>
        <w:adjustRightInd w:val="0"/>
        <w:snapToGrid w:val="0"/>
        <w:spacing w:line="360" w:lineRule="auto"/>
        <w:ind w:firstLine="600" w:firstLineChars="25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⑦竣工资料要做到及时、真实、准确、完整。</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承包人需要提交的竣工资料套数：</w:t>
      </w:r>
      <w:r>
        <w:rPr>
          <w:rFonts w:hint="eastAsia" w:ascii="仿宋" w:hAnsi="仿宋" w:eastAsia="仿宋" w:cs="仿宋"/>
          <w:color w:val="auto"/>
          <w:szCs w:val="21"/>
          <w:highlight w:val="none"/>
          <w:u w:val="single"/>
          <w:shd w:val="clear" w:color="auto" w:fill="FFFFFF"/>
        </w:rPr>
        <w:t>竣工资料5套，须达到质量监督和城建档案相关部门存档的要求装订成册。竣工图纸需要加晒时，相关费用由承包人承担。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承包人提交的竣工资料的费用承担：</w:t>
      </w:r>
      <w:r>
        <w:rPr>
          <w:rFonts w:hint="eastAsia" w:ascii="仿宋" w:hAnsi="仿宋" w:eastAsia="仿宋" w:cs="仿宋"/>
          <w:color w:val="auto"/>
          <w:szCs w:val="21"/>
          <w:highlight w:val="none"/>
          <w:u w:val="single"/>
          <w:shd w:val="clear" w:color="auto" w:fill="FFFFFF"/>
        </w:rPr>
        <w:t>由承包人承担，费用包含在合同价内，发包人不再另行支付。</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承包人提交的竣工资料移交时间：</w:t>
      </w:r>
      <w:r>
        <w:rPr>
          <w:rFonts w:hint="eastAsia" w:ascii="仿宋" w:hAnsi="仿宋" w:eastAsia="仿宋" w:cs="仿宋"/>
          <w:color w:val="auto"/>
          <w:szCs w:val="21"/>
          <w:highlight w:val="none"/>
          <w:u w:val="single"/>
          <w:shd w:val="clear" w:color="auto" w:fill="FFFFFF"/>
        </w:rPr>
        <w:t>工程竣工验收合格后14日内</w:t>
      </w:r>
      <w:r>
        <w:rPr>
          <w:rFonts w:hint="eastAsia" w:ascii="仿宋" w:hAnsi="仿宋" w:eastAsia="仿宋" w:cs="仿宋"/>
          <w:color w:val="auto"/>
          <w:szCs w:val="21"/>
          <w:highlight w:val="none"/>
          <w:shd w:val="clear" w:color="auto" w:fill="FFFFFF"/>
        </w:rPr>
        <w:t>。</w:t>
      </w:r>
    </w:p>
    <w:p>
      <w:pPr>
        <w:pStyle w:val="29"/>
        <w:snapToGrid w:val="0"/>
        <w:spacing w:line="360" w:lineRule="auto"/>
        <w:ind w:firstLine="420" w:firstLineChars="200"/>
        <w:rPr>
          <w:rFonts w:hint="eastAsia" w:ascii="仿宋" w:hAnsi="仿宋" w:eastAsia="仿宋" w:cs="仿宋"/>
          <w:color w:val="auto"/>
          <w:highlight w:val="none"/>
          <w:shd w:val="clear" w:color="auto" w:fill="FFFFFF"/>
        </w:rPr>
      </w:pPr>
      <w:r>
        <w:rPr>
          <w:rFonts w:hint="eastAsia" w:ascii="仿宋" w:hAnsi="仿宋" w:eastAsia="仿宋" w:cs="仿宋"/>
          <w:color w:val="auto"/>
          <w:kern w:val="2"/>
          <w:sz w:val="21"/>
          <w:szCs w:val="21"/>
          <w:highlight w:val="none"/>
          <w:shd w:val="clear" w:color="auto" w:fill="FFFFFF"/>
        </w:rPr>
        <w:t>承包人提交的竣工资料移交时间：</w:t>
      </w:r>
      <w:r>
        <w:rPr>
          <w:rFonts w:hint="eastAsia" w:ascii="仿宋" w:hAnsi="仿宋" w:eastAsia="仿宋" w:cs="仿宋"/>
          <w:color w:val="auto"/>
          <w:kern w:val="2"/>
          <w:sz w:val="21"/>
          <w:szCs w:val="21"/>
          <w:highlight w:val="none"/>
          <w:u w:val="single"/>
          <w:shd w:val="clear" w:color="auto" w:fill="FFFFFF"/>
        </w:rPr>
        <w:t>工程竣工验收合格后30日历天内</w:t>
      </w:r>
      <w:r>
        <w:rPr>
          <w:rFonts w:hint="eastAsia" w:ascii="仿宋" w:hAnsi="仿宋" w:eastAsia="仿宋" w:cs="仿宋"/>
          <w:color w:val="auto"/>
          <w:kern w:val="2"/>
          <w:sz w:val="21"/>
          <w:szCs w:val="21"/>
          <w:highlight w:val="none"/>
          <w:shd w:val="clear" w:color="auto" w:fill="FFFFFF"/>
        </w:rPr>
        <w:t>；</w:t>
      </w:r>
    </w:p>
    <w:p>
      <w:pPr>
        <w:spacing w:line="360" w:lineRule="exact"/>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承包人提交的竣工资料形式要求：</w:t>
      </w:r>
      <w:r>
        <w:rPr>
          <w:rFonts w:hint="eastAsia" w:ascii="仿宋" w:hAnsi="仿宋" w:eastAsia="仿宋" w:cs="仿宋"/>
          <w:color w:val="auto"/>
          <w:szCs w:val="21"/>
          <w:highlight w:val="none"/>
          <w:u w:val="single"/>
          <w:shd w:val="clear" w:color="auto" w:fill="FFFFFF"/>
        </w:rPr>
        <w:t>纸质5套，电子文档1套、扫描文档及发包人要求的其他形式，资料必须真实、准确、完整。</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（10）承包人应履行的其他义务：</w:t>
      </w:r>
      <w:r>
        <w:rPr>
          <w:rFonts w:hint="eastAsia" w:ascii="仿宋" w:hAnsi="仿宋" w:eastAsia="仿宋" w:cs="仿宋"/>
          <w:color w:val="auto"/>
          <w:szCs w:val="21"/>
          <w:highlight w:val="none"/>
          <w:u w:val="single"/>
          <w:shd w:val="clear" w:color="auto" w:fill="FFFFFF"/>
        </w:rPr>
        <w:t>承包人应当对在施工场地或者附近实施与合同工程有关的其他工作的独立承包人履行协调、配合、照管和服务义务，由此发生的费用被认为已经包括在承包人的签约合同价(投标总报价)中，本工程在施工过程中如存在多个单位同时作业，承包人必须顾全大局，相互协作，密切配合，严格服从发包人和监理单位的协调指挥；承包人须积极配合单位工程内各施工队伍的施工，积极配合解决施工过程中存在的各类问题，确保工程顺利进行；承包人应处理好与相邻施工单位的关系，处理好与邻里及村民等的关系并承担发生的一切费用，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施工现场安全文明施工要求：须达到《河南省建设工程施工安全生产标准化实施指南》、《</w:t>
      </w:r>
      <w:r>
        <w:rPr>
          <w:rFonts w:hint="eastAsia" w:ascii="仿宋" w:hAnsi="仿宋" w:eastAsia="仿宋" w:cs="仿宋"/>
          <w:color w:val="auto"/>
          <w:szCs w:val="21"/>
          <w:highlight w:val="none"/>
          <w:shd w:val="clear" w:color="auto" w:fill="FFFFFF"/>
        </w:rPr>
        <w:fldChar w:fldCharType="begin"/>
      </w:r>
      <w:r>
        <w:rPr>
          <w:rFonts w:hint="eastAsia" w:ascii="仿宋" w:hAnsi="仿宋" w:eastAsia="仿宋" w:cs="仿宋"/>
          <w:color w:val="auto"/>
          <w:szCs w:val="21"/>
          <w:highlight w:val="none"/>
          <w:shd w:val="clear" w:color="auto" w:fill="FFFFFF"/>
        </w:rPr>
        <w:instrText xml:space="preserve">HYPERLINK "%20%20%20%20http://bookask.com/book/490844.html" \t "http://xueshu.baidu.com/_blank"</w:instrText>
      </w:r>
      <w:r>
        <w:rPr>
          <w:rFonts w:hint="eastAsia" w:ascii="仿宋" w:hAnsi="仿宋" w:eastAsia="仿宋" w:cs="仿宋"/>
          <w:color w:val="auto"/>
          <w:szCs w:val="21"/>
          <w:highlight w:val="none"/>
          <w:shd w:val="clear" w:color="auto" w:fill="FFFFFF"/>
        </w:rPr>
        <w:fldChar w:fldCharType="separate"/>
      </w:r>
      <w:r>
        <w:rPr>
          <w:rFonts w:hint="eastAsia" w:ascii="仿宋" w:hAnsi="仿宋" w:eastAsia="仿宋" w:cs="仿宋"/>
          <w:color w:val="auto"/>
          <w:szCs w:val="21"/>
          <w:highlight w:val="none"/>
          <w:u w:val="single"/>
          <w:shd w:val="clear" w:color="auto" w:fill="FFFFFF"/>
        </w:rPr>
        <w:t>郑州市建设工程施工安全生产标准化管理实施指南</w:t>
      </w:r>
      <w:r>
        <w:rPr>
          <w:rFonts w:hint="eastAsia" w:ascii="仿宋" w:hAnsi="仿宋" w:eastAsia="仿宋" w:cs="仿宋"/>
          <w:color w:val="auto"/>
          <w:szCs w:val="21"/>
          <w:highlight w:val="none"/>
          <w:shd w:val="clear" w:color="auto" w:fill="FFFFFF"/>
        </w:rPr>
        <w:fldChar w:fldCharType="end"/>
      </w:r>
      <w:r>
        <w:rPr>
          <w:rFonts w:hint="eastAsia" w:ascii="仿宋" w:hAnsi="仿宋" w:eastAsia="仿宋" w:cs="仿宋"/>
          <w:color w:val="auto"/>
          <w:szCs w:val="21"/>
          <w:highlight w:val="none"/>
          <w:u w:val="single"/>
          <w:shd w:val="clear" w:color="auto" w:fill="FFFFFF"/>
        </w:rPr>
        <w:t>》等要求，扬尘污染防治须达到《河南省建筑施工现场扬尘防治管理暂行规定的通知》、《郑州市控制扬尘污染工作方案》、《郑州市建筑工地扬尘污染综合治理标准》的要求。保持施工场地清洁卫生，施工过程中产生的建筑垃圾、生活垃圾等，承包人应及时运出施工现场及校园外并运到政府认可的垃圾场，做到工完场清，承包人负责施工现场建筑垃圾的清运并承担其费用，如不能按时清理出场，发包人有权指定第三方处理，费用由承包方承担，该费用在同期工程款中扣除。</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对接相关管理部门协调处理施工现场周围地下管线和邻近建筑物、构筑物、古树名木的保护工作，并承担相关费用。</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承包方负责协调周边村民、相关执法部门、市政管理处等的关系，做到文明施工不扰民，同时协调民扰问题，且承担协调费用。承包人应始终采取各种合理的预防措施，保证正常的施工秩序，保证现场及第三人的财产和人身安全。</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竣工前，承包人应将因其施工破坏的绿地、公共设施、道路、地上地下构（建）筑物及施工便道恢复至有关单位的要求，并负责清理现场施工及生活垃圾，费用由承包人自理。</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由于承包人原因引起的政府监督管理部门的相关处罚与罚款由承包人承担。</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承包人应严格服从发包人和监理人的协调指挥，对在施工场地或者附近实施与合同工程有关的其他工作的独立承包人履行管理、协调、配合义务。并应处理好与相邻施工单位的施工接口关系。</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3.2 项目经理</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3.2.1 项目经理：</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姓名：</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证号：</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建造师执业资格等级：</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建造师注册证书号：</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建造师执业印章号：</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安全生产考核合格证书号：</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通信地址：</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承包人对项目经理的授权范围如下：</w:t>
      </w:r>
      <w:r>
        <w:rPr>
          <w:rFonts w:hint="eastAsia" w:ascii="仿宋" w:hAnsi="仿宋" w:eastAsia="仿宋" w:cs="仿宋"/>
          <w:color w:val="auto"/>
          <w:szCs w:val="21"/>
          <w:highlight w:val="none"/>
          <w:u w:val="single"/>
          <w:shd w:val="clear" w:color="auto" w:fill="FFFFFF"/>
        </w:rPr>
        <w:t>主持项目部的日常管理工作，代表承包人全权处理与本工程建设有关的事宜。项目经理经承包人授权后代表承包人负责履行合同，但是下列必须经承包人同意，并加盖承包人单位公章方为有效：</w:t>
      </w:r>
    </w:p>
    <w:p>
      <w:pPr>
        <w:numPr>
          <w:ilvl w:val="0"/>
          <w:numId w:val="2"/>
        </w:numPr>
        <w:adjustRightInd w:val="0"/>
        <w:snapToGrid w:val="0"/>
        <w:spacing w:line="360" w:lineRule="auto"/>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与本工程相关的任何补充协议的签订；</w:t>
      </w:r>
    </w:p>
    <w:p>
      <w:pPr>
        <w:numPr>
          <w:ilvl w:val="0"/>
          <w:numId w:val="2"/>
        </w:num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与本工程相关的任何分包合同、采购合同、聘任合同的签订；</w:t>
      </w:r>
    </w:p>
    <w:p>
      <w:pPr>
        <w:numPr>
          <w:ilvl w:val="0"/>
          <w:numId w:val="2"/>
        </w:num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同意涉及合同价款变化或合同工期变化的变更指示；</w:t>
      </w:r>
    </w:p>
    <w:p>
      <w:pPr>
        <w:numPr>
          <w:ilvl w:val="0"/>
          <w:numId w:val="2"/>
        </w:num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进度款支付申请；</w:t>
      </w:r>
    </w:p>
    <w:p>
      <w:pPr>
        <w:numPr>
          <w:ilvl w:val="0"/>
          <w:numId w:val="2"/>
        </w:num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竣工验收申请；</w:t>
      </w:r>
    </w:p>
    <w:p>
      <w:pPr>
        <w:numPr>
          <w:ilvl w:val="0"/>
          <w:numId w:val="2"/>
        </w:numPr>
        <w:adjustRightInd w:val="0"/>
        <w:snapToGrid w:val="0"/>
        <w:spacing w:line="360" w:lineRule="auto"/>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最终结清申请单；</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3.2.1关于项目经理每月在施工现场的时间要求：</w:t>
      </w:r>
      <w:r>
        <w:rPr>
          <w:rFonts w:hint="eastAsia" w:ascii="仿宋" w:hAnsi="仿宋" w:eastAsia="仿宋" w:cs="仿宋"/>
          <w:color w:val="auto"/>
          <w:szCs w:val="21"/>
          <w:highlight w:val="none"/>
          <w:u w:val="single"/>
          <w:shd w:val="clear" w:color="auto" w:fill="FFFFFF"/>
        </w:rPr>
        <w:t xml:space="preserve"> 每周至少在现场5个日历天，每月不少于25个日历天  </w:t>
      </w:r>
      <w:r>
        <w:rPr>
          <w:rFonts w:hint="eastAsia" w:ascii="仿宋" w:hAnsi="仿宋" w:eastAsia="仿宋" w:cs="仿宋"/>
          <w:color w:val="auto"/>
          <w:szCs w:val="21"/>
          <w:highlight w:val="none"/>
          <w:shd w:val="clear" w:color="auto" w:fill="FFFFFF"/>
        </w:rPr>
        <w:t>。</w:t>
      </w:r>
      <w:r>
        <w:rPr>
          <w:rFonts w:hint="eastAsia" w:ascii="仿宋" w:hAnsi="仿宋" w:eastAsia="仿宋" w:cs="仿宋"/>
          <w:color w:val="auto"/>
          <w:kern w:val="0"/>
          <w:szCs w:val="21"/>
          <w:highlight w:val="none"/>
          <w:shd w:val="clear" w:color="auto" w:fill="FFFFFF"/>
        </w:rPr>
        <w:t>项目经理未经批准，擅自离开施工现场的违约责任：</w:t>
      </w:r>
      <w:r>
        <w:rPr>
          <w:rFonts w:hint="eastAsia" w:ascii="仿宋" w:hAnsi="仿宋" w:eastAsia="仿宋" w:cs="仿宋"/>
          <w:color w:val="auto"/>
          <w:kern w:val="0"/>
          <w:szCs w:val="21"/>
          <w:highlight w:val="none"/>
          <w:u w:val="single"/>
          <w:shd w:val="clear" w:color="auto" w:fill="FFFFFF"/>
        </w:rPr>
        <w:t xml:space="preserve"> 擅自离场≤3日， 承包人承担违约金1000元；擅自离场＞3天的，发包人有权要求承包人更换项目经理，承担违约金</w:t>
      </w:r>
      <w:r>
        <w:rPr>
          <w:rFonts w:hint="eastAsia" w:ascii="仿宋" w:hAnsi="仿宋" w:eastAsia="仿宋" w:cs="仿宋"/>
          <w:color w:val="auto"/>
          <w:kern w:val="0"/>
          <w:szCs w:val="21"/>
          <w:highlight w:val="none"/>
          <w:u w:val="single"/>
          <w:shd w:val="clear" w:color="auto" w:fill="FFFFFF"/>
          <w:lang w:val="en-US" w:eastAsia="zh-CN"/>
        </w:rPr>
        <w:t>10</w:t>
      </w:r>
      <w:r>
        <w:rPr>
          <w:rFonts w:hint="eastAsia" w:ascii="仿宋" w:hAnsi="仿宋" w:eastAsia="仿宋" w:cs="仿宋"/>
          <w:color w:val="auto"/>
          <w:kern w:val="0"/>
          <w:szCs w:val="21"/>
          <w:highlight w:val="none"/>
          <w:u w:val="single"/>
          <w:shd w:val="clear" w:color="auto" w:fill="FFFFFF"/>
        </w:rPr>
        <w:t xml:space="preserve">000元，由此增加的费用和（或）延误的工期由承包人承担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3.2.2承包人擅自更换项目经理的违约责任：每发生一次，承包人须按合同价款的</w:t>
      </w:r>
      <w:r>
        <w:rPr>
          <w:rFonts w:hint="eastAsia" w:ascii="仿宋" w:hAnsi="仿宋" w:eastAsia="仿宋" w:cs="仿宋"/>
          <w:color w:val="auto"/>
          <w:szCs w:val="21"/>
          <w:highlight w:val="none"/>
          <w:u w:val="single"/>
          <w:shd w:val="clear" w:color="auto" w:fill="FFFFFF"/>
        </w:rPr>
        <w:t>千分之三</w:t>
      </w:r>
      <w:r>
        <w:rPr>
          <w:rFonts w:hint="eastAsia" w:ascii="仿宋" w:hAnsi="仿宋" w:eastAsia="仿宋" w:cs="仿宋"/>
          <w:color w:val="auto"/>
          <w:szCs w:val="21"/>
          <w:highlight w:val="none"/>
          <w:shd w:val="clear" w:color="auto" w:fill="FFFFFF"/>
        </w:rPr>
        <w:t>支付违约金，违约金从履约保证金中扣除；如承包人未在发包人限期内改正, 发包人及业主单位有权解除合同。</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 xml:space="preserve">3.2.3 </w:t>
      </w:r>
      <w:r>
        <w:rPr>
          <w:rFonts w:hint="eastAsia" w:ascii="仿宋" w:hAnsi="仿宋" w:eastAsia="仿宋" w:cs="仿宋"/>
          <w:color w:val="auto"/>
          <w:szCs w:val="21"/>
          <w:highlight w:val="none"/>
          <w:u w:val="single"/>
          <w:shd w:val="clear" w:color="auto" w:fill="FFFFFF"/>
        </w:rPr>
        <w:t>发包人或项目管理方认为无法胜任的人员，承包人必须在发包人提出要求后48小时内无条件调离本工程项目部，拒绝更换的，每人次每日支付违约金3000元，直至更换；同时，承包人应在72小时内使用经过发包人批准认可的人员代替调离人员，否则每拖延1天承包人支付违约金500元。</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无法胜任人员是指：a.对施工进度及质量达不到合同要求负有责任的施工人员；b.专业水平达不到岗位要求，工作责任心不强的施工人员；c.不能积极配合发包人、监理单位正常工作（包括销售工作）的人员；d.违反发包人施工现场管理规定并经教育未改正的人员；e.无证上岗（适用按规定必须持有上岗证的工种）的人员；f.与投标文件及本合同约定名册不符的人员；g.与本工程施工无关人员等。相应违约金在中间付款时直接予以扣除。</w:t>
      </w:r>
    </w:p>
    <w:p>
      <w:pPr>
        <w:tabs>
          <w:tab w:val="left" w:pos="840"/>
        </w:tabs>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3.2.4 以上约定的发包人有权扣除的违约金总金额，在竣工结算审定总金额中予以扣除。</w:t>
      </w:r>
    </w:p>
    <w:p>
      <w:pPr>
        <w:tabs>
          <w:tab w:val="left" w:pos="840"/>
        </w:tabs>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3.2.5对于项目经理及项目部主要成员的管理办法按照《建筑工程施工转包违法分包等违法行为认定查处管理办法（试行）》执行。</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3.3 承包人人员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3.3.1 承包人提交项目管理机构及施工现场管理人员安排报告的期限：</w:t>
      </w:r>
      <w:r>
        <w:rPr>
          <w:rFonts w:hint="eastAsia" w:ascii="仿宋" w:hAnsi="仿宋" w:eastAsia="仿宋" w:cs="仿宋"/>
          <w:color w:val="auto"/>
          <w:szCs w:val="21"/>
          <w:highlight w:val="none"/>
          <w:u w:val="single"/>
          <w:shd w:val="clear" w:color="auto" w:fill="FFFFFF"/>
        </w:rPr>
        <w:t>合同签订后</w:t>
      </w:r>
      <w:r>
        <w:rPr>
          <w:rFonts w:hint="eastAsia" w:ascii="仿宋" w:hAnsi="仿宋" w:eastAsia="仿宋" w:cs="仿宋"/>
          <w:color w:val="auto"/>
          <w:szCs w:val="21"/>
          <w:highlight w:val="none"/>
          <w:u w:val="single"/>
          <w:shd w:val="clear" w:color="auto" w:fill="FFFFFF"/>
          <w:lang w:eastAsia="zh-CN"/>
        </w:rPr>
        <w:t>三天</w:t>
      </w:r>
      <w:r>
        <w:rPr>
          <w:rFonts w:hint="eastAsia" w:ascii="仿宋" w:hAnsi="仿宋" w:eastAsia="仿宋" w:cs="仿宋"/>
          <w:color w:val="auto"/>
          <w:szCs w:val="21"/>
          <w:highlight w:val="none"/>
          <w:u w:val="single"/>
          <w:shd w:val="clear" w:color="auto" w:fill="FFFFFF"/>
        </w:rPr>
        <w:t>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3.3.3 承包人无正当理由拒绝撤换主要施工管理人员的违约责任：</w:t>
      </w:r>
      <w:r>
        <w:rPr>
          <w:rFonts w:hint="eastAsia" w:ascii="仿宋" w:hAnsi="仿宋" w:eastAsia="仿宋" w:cs="仿宋"/>
          <w:color w:val="auto"/>
          <w:szCs w:val="21"/>
          <w:highlight w:val="none"/>
          <w:u w:val="single"/>
          <w:shd w:val="clear" w:color="auto" w:fill="FFFFFF"/>
        </w:rPr>
        <w:t>同专用条款3.2.3及3.2.4条。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3.3.5承包人擅自更换主要施工管理人员的违约责任：</w:t>
      </w:r>
      <w:r>
        <w:rPr>
          <w:rFonts w:hint="eastAsia" w:ascii="仿宋" w:hAnsi="仿宋" w:eastAsia="仿宋" w:cs="仿宋"/>
          <w:color w:val="auto"/>
          <w:szCs w:val="21"/>
          <w:highlight w:val="none"/>
          <w:u w:val="single"/>
          <w:shd w:val="clear" w:color="auto" w:fill="FFFFFF"/>
        </w:rPr>
        <w:t>同专用条款3.2.2条</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承包人主要施工管理人员擅自离开施工现场的违约责任：</w:t>
      </w:r>
      <w:r>
        <w:rPr>
          <w:rFonts w:hint="eastAsia" w:ascii="仿宋" w:hAnsi="仿宋" w:eastAsia="仿宋" w:cs="仿宋"/>
          <w:color w:val="auto"/>
          <w:szCs w:val="21"/>
          <w:highlight w:val="none"/>
          <w:u w:val="single"/>
          <w:shd w:val="clear" w:color="auto" w:fill="FFFFFF"/>
        </w:rPr>
        <w:t xml:space="preserve"> 擅自离场≤5天的，承包人应承担违约金1000元；擅自离场＞5天的，发包人有权要求承包人更换该管理人员，并承担违约金1万元，由此增加的费用和延误的工期造成的一切损失由承包人承担 </w:t>
      </w:r>
      <w:r>
        <w:rPr>
          <w:rFonts w:hint="eastAsia" w:ascii="仿宋" w:hAnsi="仿宋" w:eastAsia="仿宋" w:cs="仿宋"/>
          <w:color w:val="auto"/>
          <w:szCs w:val="21"/>
          <w:highlight w:val="none"/>
          <w:shd w:val="clear" w:color="auto" w:fill="FFFFFF"/>
        </w:rPr>
        <w:t>。</w:t>
      </w:r>
    </w:p>
    <w:p>
      <w:pPr>
        <w:tabs>
          <w:tab w:val="left" w:pos="840"/>
        </w:tabs>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3.3.6 以上约定的发包人有权扣除违约金的违约金总金额，在竣工结算审定总金额中予以扣除。</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3.5 分包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3.5.1 分包的一般约定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禁止分包的工程包括：</w:t>
      </w:r>
      <w:r>
        <w:rPr>
          <w:rFonts w:hint="eastAsia" w:ascii="仿宋" w:hAnsi="仿宋" w:eastAsia="仿宋" w:cs="仿宋"/>
          <w:color w:val="auto"/>
          <w:szCs w:val="21"/>
          <w:highlight w:val="none"/>
          <w:u w:val="single"/>
          <w:shd w:val="clear" w:color="auto" w:fill="FFFFFF"/>
        </w:rPr>
        <w:t xml:space="preserve">承包范围内的全部工程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3.5.2分包的确定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不允许</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3.5.4 分包合同价款</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关于分包合同价款支付的约定：</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3.6 工程照管与成品、半成品保护</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承包人负责照管工程及工程相关的材料、工程设备的起始时间：</w:t>
      </w:r>
      <w:r>
        <w:rPr>
          <w:rFonts w:hint="eastAsia" w:ascii="仿宋" w:hAnsi="仿宋" w:eastAsia="仿宋" w:cs="仿宋"/>
          <w:color w:val="auto"/>
          <w:szCs w:val="21"/>
          <w:highlight w:val="none"/>
          <w:u w:val="single"/>
          <w:shd w:val="clear" w:color="auto" w:fill="FFFFFF"/>
        </w:rPr>
        <w:t>执行通用合同条款本款约定。相关费用包含在合同价内，发包人不再另行支付。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3.7 履约担保</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承包人是否提供履约担保：</w:t>
      </w:r>
      <w:r>
        <w:rPr>
          <w:rFonts w:hint="eastAsia" w:ascii="仿宋" w:hAnsi="仿宋" w:eastAsia="仿宋" w:cs="仿宋"/>
          <w:color w:val="auto"/>
          <w:kern w:val="0"/>
          <w:szCs w:val="21"/>
          <w:highlight w:val="none"/>
          <w:u w:val="single"/>
          <w:shd w:val="clear" w:color="auto" w:fill="FFFFFF"/>
        </w:rPr>
        <w:t>是</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承包人提供履约担保的形式、金额及期限：</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lang w:eastAsia="zh-CN"/>
        </w:rPr>
        <w:t>履约担保的形式：采用银行转账形式交纳。</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lang w:eastAsia="zh-CN"/>
        </w:rPr>
        <w:t>履约担保的金额：中标价格的</w:t>
      </w:r>
      <w:r>
        <w:rPr>
          <w:rFonts w:hint="eastAsia" w:ascii="仿宋" w:hAnsi="仿宋" w:eastAsia="仿宋" w:cs="仿宋"/>
          <w:color w:val="auto"/>
          <w:szCs w:val="21"/>
          <w:highlight w:val="none"/>
          <w:shd w:val="clear" w:color="auto" w:fill="FFFFFF"/>
          <w:lang w:val="en-US" w:eastAsia="zh-CN"/>
        </w:rPr>
        <w:t>3</w:t>
      </w:r>
      <w:r>
        <w:rPr>
          <w:rFonts w:hint="eastAsia" w:ascii="仿宋" w:hAnsi="仿宋" w:eastAsia="仿宋" w:cs="仿宋"/>
          <w:color w:val="auto"/>
          <w:szCs w:val="21"/>
          <w:highlight w:val="none"/>
          <w:shd w:val="clear" w:color="auto" w:fill="FFFFFF"/>
          <w:lang w:eastAsia="zh-CN"/>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rPr>
        <w:t>承包人提交履约担保的时间</w:t>
      </w:r>
      <w:r>
        <w:rPr>
          <w:rFonts w:hint="eastAsia" w:ascii="仿宋" w:hAnsi="仿宋" w:eastAsia="仿宋" w:cs="仿宋"/>
          <w:color w:val="auto"/>
          <w:szCs w:val="21"/>
          <w:highlight w:val="none"/>
          <w:shd w:val="clear" w:color="auto" w:fill="FFFFFF"/>
          <w:lang w:eastAsia="zh-CN"/>
        </w:rPr>
        <w:t>：</w:t>
      </w:r>
      <w:r>
        <w:rPr>
          <w:rFonts w:hint="eastAsia" w:ascii="仿宋" w:hAnsi="仿宋" w:eastAsia="仿宋" w:cs="仿宋"/>
          <w:color w:val="auto"/>
          <w:szCs w:val="21"/>
          <w:highlight w:val="none"/>
          <w:u w:val="none"/>
          <w:shd w:val="clear" w:color="auto" w:fill="FFFFFF"/>
        </w:rPr>
        <w:t>中标通知书发出7日内</w:t>
      </w:r>
      <w:r>
        <w:rPr>
          <w:rFonts w:hint="eastAsia" w:ascii="仿宋" w:hAnsi="仿宋" w:eastAsia="仿宋" w:cs="仿宋"/>
          <w:color w:val="auto"/>
          <w:szCs w:val="21"/>
          <w:highlight w:val="none"/>
          <w:u w:val="none"/>
          <w:shd w:val="clear" w:color="auto" w:fill="FFFFFF"/>
          <w:lang w:eastAsia="zh-CN"/>
        </w:rPr>
        <w:t>，且在</w:t>
      </w:r>
      <w:r>
        <w:rPr>
          <w:rFonts w:hint="eastAsia" w:ascii="仿宋" w:hAnsi="仿宋" w:eastAsia="仿宋" w:cs="仿宋"/>
          <w:color w:val="auto"/>
          <w:szCs w:val="21"/>
          <w:highlight w:val="none"/>
          <w:shd w:val="clear" w:color="auto" w:fill="FFFFFF"/>
          <w:lang w:eastAsia="zh-CN"/>
        </w:rPr>
        <w:t>合同签订前递交至招标人。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lang w:eastAsia="zh-CN"/>
        </w:rPr>
        <w:t>开户名称：华北水利水电大学</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lang w:eastAsia="zh-CN"/>
        </w:rPr>
        <w:t>开 户 行：农行农业路支行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lang w:eastAsia="zh-CN"/>
        </w:rPr>
      </w:pPr>
      <w:r>
        <w:rPr>
          <w:rFonts w:hint="eastAsia" w:ascii="仿宋" w:hAnsi="仿宋" w:eastAsia="仿宋" w:cs="仿宋"/>
          <w:color w:val="auto"/>
          <w:szCs w:val="21"/>
          <w:highlight w:val="none"/>
          <w:shd w:val="clear" w:color="auto" w:fill="FFFFFF"/>
          <w:lang w:eastAsia="zh-CN"/>
        </w:rPr>
        <w:t>账    号：16060101040007091</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lang w:eastAsia="zh-CN"/>
        </w:rPr>
        <w:t>注：履约保证金须从中标单位基本账户转出，转账时请简要写明本招标项目名称，以便核对。</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4.监理人</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4.1监理人的一般规定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关于监理人的监理内容：</w:t>
      </w:r>
      <w:r>
        <w:rPr>
          <w:rFonts w:hint="eastAsia" w:ascii="仿宋" w:hAnsi="仿宋" w:eastAsia="仿宋" w:cs="仿宋"/>
          <w:color w:val="auto"/>
          <w:kern w:val="0"/>
          <w:szCs w:val="21"/>
          <w:highlight w:val="none"/>
          <w:u w:val="single"/>
          <w:shd w:val="clear" w:color="auto" w:fill="FFFFFF"/>
        </w:rPr>
        <w:t>详见《建设工程委托监理合同》</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关于监理人的监理权限：</w:t>
      </w:r>
      <w:r>
        <w:rPr>
          <w:rFonts w:hint="eastAsia" w:ascii="仿宋" w:hAnsi="仿宋" w:eastAsia="仿宋" w:cs="仿宋"/>
          <w:color w:val="auto"/>
          <w:kern w:val="0"/>
          <w:szCs w:val="21"/>
          <w:highlight w:val="none"/>
          <w:u w:val="single"/>
          <w:shd w:val="clear" w:color="auto" w:fill="FFFFFF"/>
        </w:rPr>
        <w:t>详见《建设工程委托监理合同》</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关于监理人在施工现场的办公场所、生活场所的提供和费用承担的约定：</w:t>
      </w:r>
      <w:r>
        <w:rPr>
          <w:rFonts w:hint="eastAsia" w:ascii="仿宋" w:hAnsi="仿宋" w:eastAsia="仿宋" w:cs="仿宋"/>
          <w:color w:val="auto"/>
          <w:kern w:val="0"/>
          <w:szCs w:val="21"/>
          <w:highlight w:val="none"/>
          <w:u w:val="single"/>
          <w:shd w:val="clear" w:color="auto" w:fill="FFFFFF"/>
        </w:rPr>
        <w:t>由承包人为监理单位提供必要的办公用房、办公家具（不包含办公用品，如电脑等）。</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4.2 监理人员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总监理工程师：</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姓名：；</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职务：；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监理工程师执业资格证书号：；</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联系电话：；</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电子信箱：；</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通信地址：；</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关于监理人的其他约定：</w:t>
      </w:r>
      <w:r>
        <w:rPr>
          <w:rFonts w:hint="eastAsia" w:ascii="仿宋" w:hAnsi="仿宋" w:eastAsia="仿宋" w:cs="仿宋"/>
          <w:color w:val="auto"/>
          <w:szCs w:val="21"/>
          <w:highlight w:val="none"/>
          <w:u w:val="single"/>
          <w:shd w:val="clear" w:color="auto" w:fill="FFFFFF"/>
        </w:rPr>
        <w:t>／。</w:t>
      </w:r>
    </w:p>
    <w:p>
      <w:pPr>
        <w:adjustRightInd w:val="0"/>
        <w:snapToGrid w:val="0"/>
        <w:spacing w:line="360" w:lineRule="auto"/>
        <w:ind w:firstLine="482" w:firstLineChars="200"/>
        <w:rPr>
          <w:rFonts w:hint="eastAsia" w:ascii="仿宋" w:hAnsi="仿宋" w:eastAsia="仿宋" w:cs="仿宋"/>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4.4 商定或确定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在发包人和承包人不能通过协商达成一致意见时，发包人授权监理人对以下事项进行确定：</w:t>
      </w:r>
    </w:p>
    <w:p>
      <w:pPr>
        <w:autoSpaceDE w:val="0"/>
        <w:autoSpaceDN w:val="0"/>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utoSpaceDE w:val="0"/>
        <w:autoSpaceDN w:val="0"/>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（2）</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utoSpaceDE w:val="0"/>
        <w:autoSpaceDN w:val="0"/>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（3）</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5.工程质量</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5.1 质量要求</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5.1.1 特殊质量标准和要求：</w:t>
      </w:r>
      <w:r>
        <w:rPr>
          <w:rFonts w:hint="eastAsia" w:ascii="仿宋" w:hAnsi="仿宋" w:eastAsia="仿宋" w:cs="仿宋"/>
          <w:color w:val="auto"/>
          <w:kern w:val="0"/>
          <w:szCs w:val="21"/>
          <w:highlight w:val="none"/>
          <w:u w:val="single"/>
          <w:shd w:val="clear" w:color="auto" w:fill="FFFFFF"/>
        </w:rPr>
        <w:t>按图纸及本招标文件相关规定执行</w:t>
      </w:r>
      <w:r>
        <w:rPr>
          <w:rFonts w:hint="eastAsia" w:ascii="仿宋" w:hAnsi="仿宋" w:eastAsia="仿宋" w:cs="仿宋"/>
          <w:color w:val="auto"/>
          <w:szCs w:val="21"/>
          <w:highlight w:val="none"/>
          <w:u w:val="single"/>
          <w:shd w:val="clear" w:color="auto" w:fill="FFFFFF"/>
        </w:rPr>
        <w:t>，工程质量标准必须符合现行国家有关工程施工质量验收规范和标准的要求。</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5.3 隐蔽工程检查</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5.3.2 承包人提前通知监理人隐蔽工程检查的期限的约定：</w:t>
      </w:r>
      <w:r>
        <w:rPr>
          <w:rFonts w:hint="eastAsia" w:ascii="仿宋" w:hAnsi="仿宋" w:eastAsia="仿宋" w:cs="仿宋"/>
          <w:color w:val="auto"/>
          <w:kern w:val="0"/>
          <w:szCs w:val="21"/>
          <w:highlight w:val="none"/>
          <w:u w:val="single"/>
          <w:shd w:val="clear" w:color="auto" w:fill="FFFFFF"/>
        </w:rPr>
        <w:t>执行通用条款</w:t>
      </w:r>
      <w:r>
        <w:rPr>
          <w:rFonts w:hint="eastAsia" w:ascii="仿宋" w:hAnsi="仿宋" w:eastAsia="仿宋" w:cs="仿宋"/>
          <w:color w:val="auto"/>
          <w:szCs w:val="21"/>
          <w:highlight w:val="none"/>
          <w:shd w:val="clear" w:color="auto" w:fill="FFFFFF"/>
        </w:rPr>
        <w:t>。监理人不能按时检查时，应提前</w:t>
      </w:r>
      <w:r>
        <w:rPr>
          <w:rFonts w:hint="eastAsia" w:ascii="仿宋" w:hAnsi="仿宋" w:eastAsia="仿宋" w:cs="仿宋"/>
          <w:color w:val="auto"/>
          <w:kern w:val="0"/>
          <w:szCs w:val="21"/>
          <w:highlight w:val="none"/>
          <w:u w:val="single"/>
          <w:shd w:val="clear" w:color="auto" w:fill="FFFFFF"/>
        </w:rPr>
        <w:t xml:space="preserve"> 24 </w:t>
      </w:r>
      <w:r>
        <w:rPr>
          <w:rFonts w:hint="eastAsia" w:ascii="仿宋" w:hAnsi="仿宋" w:eastAsia="仿宋" w:cs="仿宋"/>
          <w:color w:val="auto"/>
          <w:szCs w:val="21"/>
          <w:highlight w:val="none"/>
          <w:shd w:val="clear" w:color="auto" w:fill="FFFFFF"/>
        </w:rPr>
        <w:t>小时提交书面延期要求。关于延期最长不得超过：</w:t>
      </w:r>
      <w:r>
        <w:rPr>
          <w:rFonts w:hint="eastAsia" w:ascii="仿宋" w:hAnsi="仿宋" w:eastAsia="仿宋" w:cs="仿宋"/>
          <w:color w:val="auto"/>
          <w:kern w:val="0"/>
          <w:szCs w:val="21"/>
          <w:highlight w:val="none"/>
          <w:u w:val="single"/>
          <w:shd w:val="clear" w:color="auto" w:fill="FFFFFF"/>
        </w:rPr>
        <w:t>48</w:t>
      </w:r>
      <w:r>
        <w:rPr>
          <w:rFonts w:hint="eastAsia" w:ascii="仿宋" w:hAnsi="仿宋" w:eastAsia="仿宋" w:cs="仿宋"/>
          <w:color w:val="auto"/>
          <w:szCs w:val="21"/>
          <w:highlight w:val="none"/>
          <w:shd w:val="clear" w:color="auto" w:fill="FFFFFF"/>
        </w:rPr>
        <w:t>小时。</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6.安全文明施工与环境保护</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6.1安全文明施工</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6.1.1 项目安全生产的达标目标及相应事项的约定：</w:t>
      </w:r>
      <w:r>
        <w:rPr>
          <w:rFonts w:hint="eastAsia" w:ascii="仿宋" w:hAnsi="仿宋" w:eastAsia="仿宋" w:cs="仿宋"/>
          <w:color w:val="auto"/>
          <w:szCs w:val="21"/>
          <w:highlight w:val="none"/>
          <w:u w:val="single"/>
          <w:shd w:val="clear" w:color="auto" w:fill="FFFFFF"/>
        </w:rPr>
        <w:t>遵章作业杜绝人身伤亡事故发生，工地现场出现安全事故由承包人负责，项目开工之日起7日内，承包人应向监理人报送施工安全措施计划和施工环保措施计划，监理人7日内给予批复。</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6.1.4 关于治安保卫的特别约定：</w:t>
      </w:r>
      <w:r>
        <w:rPr>
          <w:rFonts w:hint="eastAsia" w:ascii="仿宋" w:hAnsi="仿宋" w:eastAsia="仿宋" w:cs="仿宋"/>
          <w:color w:val="auto"/>
          <w:szCs w:val="21"/>
          <w:highlight w:val="none"/>
          <w:u w:val="single"/>
          <w:shd w:val="clear" w:color="auto" w:fill="FFFFFF"/>
        </w:rPr>
        <w:t>保安人员的组织管理及保安人员的费用由承包人承担。遵守郑州市关于施工工地治安管理的相关规定，施工现场不得容留黄、赌、毒、涉黑、涉恐等违法犯罪人员。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关于编制施工场地治安管理计划的约定：</w:t>
      </w:r>
      <w:r>
        <w:rPr>
          <w:rFonts w:hint="eastAsia" w:ascii="仿宋" w:hAnsi="仿宋" w:eastAsia="仿宋" w:cs="仿宋"/>
          <w:color w:val="auto"/>
          <w:szCs w:val="21"/>
          <w:highlight w:val="none"/>
          <w:u w:val="single"/>
          <w:shd w:val="clear" w:color="auto" w:fill="FFFFFF"/>
        </w:rPr>
        <w:t>承包人制定经发包人确认后落实。</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6.1.5 文明施工</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合同当事人对文明施工的要求：</w:t>
      </w:r>
      <w:r>
        <w:rPr>
          <w:rFonts w:hint="eastAsia" w:ascii="仿宋" w:hAnsi="仿宋" w:eastAsia="仿宋" w:cs="仿宋"/>
          <w:color w:val="auto"/>
          <w:szCs w:val="21"/>
          <w:highlight w:val="none"/>
          <w:u w:val="single"/>
          <w:shd w:val="clear" w:color="auto" w:fill="FFFFFF"/>
        </w:rPr>
        <w:t>承包人按照发包人指定要求落实。</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6.1.6 关于安全文明施工费支付比例和支付期限的约定：</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6.1.7</w:t>
      </w:r>
      <w:r>
        <w:rPr>
          <w:rFonts w:hint="eastAsia" w:ascii="仿宋" w:hAnsi="仿宋" w:eastAsia="仿宋" w:cs="仿宋"/>
          <w:color w:val="auto"/>
          <w:szCs w:val="21"/>
          <w:highlight w:val="none"/>
          <w:u w:val="single"/>
          <w:shd w:val="clear" w:color="auto" w:fill="FFFFFF"/>
        </w:rPr>
        <w:t>扬尘治理：执行豫建设标[2016]48号文《城市房屋建筑和市政基础设施工程及道路扬尘污染防治标准》，并执行现行郑州市有关扬尘治理的相关规定。</w:t>
      </w:r>
    </w:p>
    <w:p>
      <w:pPr>
        <w:adjustRightInd w:val="0"/>
        <w:snapToGrid w:val="0"/>
        <w:spacing w:line="360" w:lineRule="auto"/>
        <w:ind w:firstLine="482" w:firstLineChars="200"/>
        <w:jc w:val="left"/>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7.工期和进度</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7.1 施工组织设计</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7.1.1 合同当事人约定的施工组织设计应包括的其他内容：</w:t>
      </w:r>
      <w:r>
        <w:rPr>
          <w:rFonts w:hint="eastAsia" w:ascii="仿宋" w:hAnsi="仿宋" w:eastAsia="仿宋" w:cs="仿宋"/>
          <w:color w:val="auto"/>
          <w:szCs w:val="21"/>
          <w:highlight w:val="none"/>
          <w:u w:val="single"/>
          <w:shd w:val="clear" w:color="auto" w:fill="FFFFFF"/>
        </w:rPr>
        <w:t>承包人必须按监理及发包人认可的施工进度计划组织施工，并接受监理对进度的检查、监督。一旦工程实际进度与经确认的进度计划不符时，承包人应按监理人的要求提出改进措施，经监理确认后执行，如拒不执行改进措施，严重影响工期时，监理可以书面通报形式告知承包人，发包人将以此作为承包人违约的依据，优先从履约保证金或付款中按3000元/次扣除违约金，并按工期延误办法执行，若承包人在合同工期内完成全部作业，以上罚款将返还承包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7.1.2 施工组织设计的提交和修改</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承包人提交详细施工组织设计的期限的约定：</w:t>
      </w:r>
      <w:r>
        <w:rPr>
          <w:rFonts w:hint="eastAsia" w:ascii="仿宋" w:hAnsi="仿宋" w:eastAsia="仿宋" w:cs="仿宋"/>
          <w:color w:val="auto"/>
          <w:szCs w:val="21"/>
          <w:highlight w:val="none"/>
          <w:u w:val="single"/>
          <w:shd w:val="clear" w:color="auto" w:fill="FFFFFF"/>
        </w:rPr>
        <w:t>承包人应在合同签订后</w:t>
      </w:r>
      <w:r>
        <w:rPr>
          <w:rFonts w:hint="eastAsia" w:ascii="仿宋" w:hAnsi="仿宋" w:eastAsia="仿宋" w:cs="仿宋"/>
          <w:color w:val="auto"/>
          <w:szCs w:val="21"/>
          <w:highlight w:val="none"/>
          <w:u w:val="single"/>
          <w:shd w:val="clear" w:color="auto" w:fill="FFFFFF"/>
          <w:lang w:val="en-US" w:eastAsia="zh-CN"/>
        </w:rPr>
        <w:t>3</w:t>
      </w:r>
      <w:r>
        <w:rPr>
          <w:rFonts w:hint="eastAsia" w:ascii="仿宋" w:hAnsi="仿宋" w:eastAsia="仿宋" w:cs="仿宋"/>
          <w:color w:val="auto"/>
          <w:szCs w:val="21"/>
          <w:highlight w:val="none"/>
          <w:u w:val="single"/>
          <w:shd w:val="clear" w:color="auto" w:fill="FFFFFF"/>
        </w:rPr>
        <w:t>天内，但至迟不得晚于第7.3.2项〔开工通知〕载明的开工日期前7天，向监理人提交详细的施工组织设计，并由监理人报送发包人。</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发包人和监理人在收到详细的施工组织设计后确认或提出修改意见的期限：</w:t>
      </w:r>
      <w:r>
        <w:rPr>
          <w:rFonts w:hint="eastAsia" w:ascii="仿宋" w:hAnsi="仿宋" w:eastAsia="仿宋" w:cs="仿宋"/>
          <w:color w:val="auto"/>
          <w:szCs w:val="21"/>
          <w:highlight w:val="none"/>
          <w:u w:val="single"/>
          <w:shd w:val="clear" w:color="auto" w:fill="FFFFFF"/>
        </w:rPr>
        <w:t>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7.2 施工进度计划</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7.2.1 施工进度计划的修订</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发包人和监理人在收到修订的施工进度计划后确认或提出修改意见的期限：</w:t>
      </w:r>
      <w:r>
        <w:rPr>
          <w:rFonts w:hint="eastAsia" w:ascii="仿宋" w:hAnsi="仿宋" w:eastAsia="仿宋" w:cs="仿宋"/>
          <w:color w:val="auto"/>
          <w:szCs w:val="21"/>
          <w:highlight w:val="none"/>
          <w:u w:val="single"/>
          <w:shd w:val="clear" w:color="auto" w:fill="FFFFFF"/>
        </w:rPr>
        <w:t>执行通用条款</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7.3 开工</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7.3.2开工通知</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以发包人或监理人发出开工通知为准。</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7.4 测量放线</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7.4.1发包人通过监理人向承包人提供测量基准点、基准线和水准点及其书面资料的期限：。</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7.5 工期延误</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7.5.1 因发包人原因导致工期延误</w:t>
      </w:r>
    </w:p>
    <w:p>
      <w:pPr>
        <w:adjustRightInd w:val="0"/>
        <w:snapToGrid w:val="0"/>
        <w:spacing w:line="360" w:lineRule="auto"/>
        <w:ind w:firstLine="360" w:firstLineChars="15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（7）因发包人原因导致工期延误的其他情形：</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7.5.2 因承包人原因导致工期延误</w:t>
      </w:r>
    </w:p>
    <w:p>
      <w:pPr>
        <w:adjustRightInd w:val="0"/>
        <w:snapToGrid w:val="0"/>
        <w:spacing w:line="360" w:lineRule="auto"/>
        <w:ind w:firstLine="477" w:firstLineChars="199"/>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因承包人原因造成工期延误，逾期竣工违约金的计算方法为：</w:t>
      </w:r>
      <w:r>
        <w:rPr>
          <w:rFonts w:hint="eastAsia" w:ascii="仿宋" w:hAnsi="仿宋" w:eastAsia="仿宋" w:cs="仿宋"/>
          <w:color w:val="auto"/>
          <w:szCs w:val="21"/>
          <w:highlight w:val="none"/>
          <w:u w:val="single"/>
          <w:shd w:val="clear" w:color="auto" w:fill="FFFFFF"/>
        </w:rPr>
        <w:t>10天之内（包括10天），1000</w:t>
      </w:r>
      <w:r>
        <w:rPr>
          <w:rFonts w:hint="eastAsia" w:ascii="仿宋" w:hAnsi="仿宋" w:eastAsia="仿宋" w:cs="仿宋"/>
          <w:color w:val="auto"/>
          <w:szCs w:val="21"/>
          <w:highlight w:val="none"/>
          <w:u w:val="single"/>
          <w:shd w:val="clear" w:color="auto" w:fill="FFFFFF"/>
          <w:lang w:val="en-US" w:eastAsia="zh-CN"/>
        </w:rPr>
        <w:t>0</w:t>
      </w:r>
      <w:r>
        <w:rPr>
          <w:rFonts w:hint="eastAsia" w:ascii="仿宋" w:hAnsi="仿宋" w:eastAsia="仿宋" w:cs="仿宋"/>
          <w:color w:val="auto"/>
          <w:szCs w:val="21"/>
          <w:highlight w:val="none"/>
          <w:u w:val="single"/>
          <w:shd w:val="clear" w:color="auto" w:fill="FFFFFF"/>
        </w:rPr>
        <w:t>元</w:t>
      </w:r>
      <w:r>
        <w:rPr>
          <w:rFonts w:hint="eastAsia" w:ascii="仿宋" w:hAnsi="仿宋" w:eastAsia="仿宋" w:cs="仿宋"/>
          <w:color w:val="auto"/>
          <w:szCs w:val="21"/>
          <w:highlight w:val="none"/>
          <w:shd w:val="clear" w:color="auto" w:fill="FFFFFF"/>
        </w:rPr>
        <w:t>/天</w:t>
      </w:r>
      <w:r>
        <w:rPr>
          <w:rFonts w:hint="eastAsia" w:ascii="仿宋" w:hAnsi="仿宋" w:eastAsia="仿宋" w:cs="仿宋"/>
          <w:color w:val="auto"/>
          <w:szCs w:val="21"/>
          <w:highlight w:val="none"/>
          <w:shd w:val="clear" w:color="auto" w:fill="FFFFFF"/>
          <w:lang w:eastAsia="zh-CN"/>
        </w:rPr>
        <w:t>，超过</w:t>
      </w:r>
      <w:r>
        <w:rPr>
          <w:rFonts w:hint="eastAsia" w:ascii="仿宋" w:hAnsi="仿宋" w:eastAsia="仿宋" w:cs="仿宋"/>
          <w:color w:val="auto"/>
          <w:szCs w:val="21"/>
          <w:highlight w:val="none"/>
          <w:shd w:val="clear" w:color="auto" w:fill="FFFFFF"/>
          <w:lang w:val="en-US" w:eastAsia="zh-CN"/>
        </w:rPr>
        <w:t>10天的，20000元/天</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77" w:firstLineChars="199"/>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逾期竣工违约金列入竣工结算文件中，在结算款中扣除。</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7.5.3 因扬尘污染防治政策性停工，仅给予工期延期补偿。</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7.6 不利物质条件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不利物质条件的其他情形和有关约定：</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7.7 提前竣工的奖励</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7.7.1提前竣工的奖励：</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8.材料与设备</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8.2承包人采购材料与工程设备</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工程所用建筑材料，不得采用假冒伪劣产品和“三无”产品，质量必须符合设计规范及相关要求，加工后的成品材料必须提供质保书。</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承包人应按设计和有关标准要求采购工程所需材料设备，在采购前10日内通知发包人并提供产品名称、规格型号、数量、品牌或厂家的样品，经发包人认可后方可采购，并封存样品，但并不因此免除承包人的任何质量责任。承包人应提供产品合格证明，对材料设备质量负责。承包人采购的材料设备在使用前，承包人应按要求进行检验或试验，并经发包人和监理工程师验收合格后方可使用。不合格的不得使用，检验或试验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承包人采购供应的材料、设备，在开箱验收前24小时内，向发包人和监理工程师提出开箱检验请求，经发包人和经理工程师验收合格并签署意见后方可使用，经开箱验收的材料、设备并不等于最终的质量合格。</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若发现承包人以假冒伪劣产品充抵或与发包人确认的材料设备不符，发包人有权让承包人更换直到发包人和监理工程师确认验收合格，并按该批合格材料、设备价格总额的10%向发包人支付违约金，由发包人从合同价款中直接扣抵，经验收后及在施工过程中发生设备、材料丢失或损坏，均由承包人承担全额经济赔偿责任。</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承包人提供的材料设备产品的质量必须符合设计要求及国家建材行业和相关行业等标准要求。</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因承包人资源投入不足，直接影响工程质量和工期，且无视监理工程师的多次警告而不做改进，从而引起工程的质量、进度和材料设备准备严重滞后时，发包人有权采取相关措施进行补救，相关措施的费用由承包人承担。</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8.4材料与工程设备的保管与使用</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8.4.1发包人供应的材料设备的保管费用的承担：</w:t>
      </w:r>
      <w:r>
        <w:rPr>
          <w:rFonts w:hint="eastAsia" w:ascii="仿宋" w:hAnsi="仿宋" w:eastAsia="仿宋" w:cs="仿宋"/>
          <w:color w:val="auto"/>
          <w:szCs w:val="21"/>
          <w:highlight w:val="none"/>
          <w:u w:val="single"/>
          <w:shd w:val="clear" w:color="auto" w:fill="FFFFFF"/>
        </w:rPr>
        <w:t>由承包人承担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8.6样品</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8.6.1样品的报送与封存</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需要承包人报送样品的材料或工程设备，样品的种类、名称、规格、数量要求：</w:t>
      </w:r>
      <w:r>
        <w:rPr>
          <w:rFonts w:hint="eastAsia" w:ascii="仿宋" w:hAnsi="仿宋" w:eastAsia="仿宋" w:cs="仿宋"/>
          <w:color w:val="auto"/>
          <w:szCs w:val="21"/>
          <w:highlight w:val="none"/>
          <w:u w:val="single"/>
          <w:shd w:val="clear" w:color="auto" w:fill="FFFFFF"/>
        </w:rPr>
        <w:t>本工程使用的全部材料及产品必须满足合格规定，符合行业主管部门对材料及产品的具体要求，坚持三证（合格检测证、材质证、准用证）齐全，有规定要求必须检测或复试的材料，经检测合格后方可使用，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由承包人采购的主要材料、设备，必须符合设计图纸和国家标准要求，满足质量监督部门对产品的检验、复试等要求，各种证件和试验报告齐全。</w:t>
      </w:r>
      <w:r>
        <w:rPr>
          <w:rFonts w:hint="eastAsia" w:ascii="仿宋" w:hAnsi="仿宋" w:eastAsia="仿宋" w:cs="仿宋"/>
          <w:color w:val="auto"/>
          <w:kern w:val="0"/>
          <w:szCs w:val="21"/>
          <w:highlight w:val="none"/>
          <w:u w:val="single"/>
          <w:shd w:val="clear" w:color="auto" w:fill="FFFFFF"/>
        </w:rPr>
        <w:t>在采购前10天通知发包人并提供产品名称、规格型号、数量、品牌或厂家的样品，必须经发包人认可后方可采购，但并不因此免除承包人的任何质量责任。承包人应提供产品合格证明，对材料质量负责。</w:t>
      </w:r>
      <w:r>
        <w:rPr>
          <w:rFonts w:hint="eastAsia" w:ascii="仿宋" w:hAnsi="仿宋" w:eastAsia="仿宋" w:cs="仿宋"/>
          <w:color w:val="auto"/>
          <w:szCs w:val="21"/>
          <w:highlight w:val="none"/>
          <w:u w:val="single"/>
          <w:shd w:val="clear" w:color="auto" w:fill="FFFFFF"/>
        </w:rPr>
        <w:t>必要的抽检费用由承包人承担。无论发包人是否抽检，如果因材料质量问题产生的责任，均有承包人承担。</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8.8施工设备和临时设施</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8.8.1 承包人提供的施工设备和临时设施</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关于修建临时设施费用承担的约定：</w:t>
      </w:r>
      <w:r>
        <w:rPr>
          <w:rFonts w:hint="eastAsia" w:ascii="仿宋" w:hAnsi="仿宋" w:eastAsia="仿宋" w:cs="仿宋"/>
          <w:color w:val="auto"/>
          <w:szCs w:val="21"/>
          <w:highlight w:val="none"/>
          <w:u w:val="single"/>
          <w:shd w:val="clear" w:color="auto" w:fill="FFFFFF"/>
        </w:rPr>
        <w:t>由承包人承担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9.试验与检验</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9.1试验设备与试验人员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9.1.2 试验设备</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施工现场需要配置的试验场所：</w:t>
      </w:r>
      <w:r>
        <w:rPr>
          <w:rFonts w:hint="eastAsia" w:ascii="仿宋" w:hAnsi="仿宋" w:eastAsia="仿宋" w:cs="仿宋"/>
          <w:color w:val="auto"/>
          <w:szCs w:val="21"/>
          <w:highlight w:val="none"/>
          <w:u w:val="single"/>
          <w:shd w:val="clear" w:color="auto" w:fill="FFFFFF"/>
        </w:rPr>
        <w:t>根据国家、省、市相关规定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施工现场需要配备的试验设备：</w:t>
      </w:r>
      <w:r>
        <w:rPr>
          <w:rFonts w:hint="eastAsia" w:ascii="仿宋" w:hAnsi="仿宋" w:eastAsia="仿宋" w:cs="仿宋"/>
          <w:color w:val="auto"/>
          <w:szCs w:val="21"/>
          <w:highlight w:val="none"/>
          <w:u w:val="single"/>
          <w:shd w:val="clear" w:color="auto" w:fill="FFFFFF"/>
        </w:rPr>
        <w:t>根据国家、省、市相关规定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施工现场需要具备的其他试验条件：</w:t>
      </w:r>
      <w:r>
        <w:rPr>
          <w:rFonts w:hint="eastAsia" w:ascii="仿宋" w:hAnsi="仿宋" w:eastAsia="仿宋" w:cs="仿宋"/>
          <w:color w:val="auto"/>
          <w:szCs w:val="21"/>
          <w:highlight w:val="none"/>
          <w:u w:val="single"/>
          <w:shd w:val="clear" w:color="auto" w:fill="FFFFFF"/>
        </w:rPr>
        <w:t>根据国家、省、市相关规定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9.4现场工艺试验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现场工艺试验的有关约定：</w:t>
      </w:r>
      <w:r>
        <w:rPr>
          <w:rFonts w:hint="eastAsia" w:ascii="仿宋" w:hAnsi="仿宋" w:eastAsia="仿宋" w:cs="仿宋"/>
          <w:color w:val="auto"/>
          <w:szCs w:val="21"/>
          <w:highlight w:val="none"/>
          <w:u w:val="single"/>
          <w:shd w:val="clear" w:color="auto" w:fill="FFFFFF"/>
        </w:rPr>
        <w:t>根据国家、省、市相关规定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10.变更</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10.1变更的范围</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关于变更的范围的约定：</w:t>
      </w:r>
      <w:r>
        <w:rPr>
          <w:rFonts w:hint="eastAsia" w:ascii="仿宋" w:hAnsi="仿宋" w:eastAsia="仿宋" w:cs="仿宋"/>
          <w:color w:val="auto"/>
          <w:szCs w:val="21"/>
          <w:highlight w:val="none"/>
          <w:u w:val="single"/>
          <w:shd w:val="clear" w:color="auto" w:fill="FFFFFF"/>
        </w:rPr>
        <w:t>执行通用条款</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10.4 变更估价</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10.4.1变更估价约定：</w:t>
      </w:r>
      <w:r>
        <w:rPr>
          <w:rFonts w:hint="eastAsia" w:ascii="仿宋" w:hAnsi="仿宋" w:eastAsia="仿宋" w:cs="仿宋"/>
          <w:color w:val="auto"/>
          <w:szCs w:val="21"/>
          <w:highlight w:val="none"/>
          <w:u w:val="single"/>
          <w:shd w:val="clear" w:color="auto" w:fill="FFFFFF"/>
        </w:rPr>
        <w:t>因承包人原因引起的变更，不予以调整。发包人、监理人认可的变更（设计变更单、工程联系单、技术核定单及其他有关文件（单）等），在工程结算时予以价格调整。作价原则按以下顺序：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u w:val="single"/>
          <w:shd w:val="clear" w:color="auto" w:fill="FFFFFF"/>
        </w:rPr>
        <w:t>(1) 投标工程量清单中有相同项目的，综合单价按相同项目的单价认定；（2）投标工程量清单中有类似项目的，综合单价按类似项目的单价认定； (3) 投标工程量清单中没有适用或类似项目的，其价款由中标单位提出报招标人批准后执行，并执行合同价与招标控制价的同比优惠率。</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 xml:space="preserve"> (2) 当工程量清单中某项清单内容工程量取消时，分部分项工程费以及以此为基数计算的所有费用均取消（单价措施费、规费、安全文明施工费、税金等）。</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价款调整金额及时间：</w:t>
      </w:r>
      <w:r>
        <w:rPr>
          <w:rFonts w:hint="eastAsia" w:ascii="仿宋" w:hAnsi="仿宋" w:eastAsia="仿宋" w:cs="仿宋"/>
          <w:color w:val="auto"/>
          <w:szCs w:val="21"/>
          <w:highlight w:val="none"/>
          <w:u w:val="single"/>
          <w:shd w:val="clear" w:color="auto" w:fill="FFFFFF"/>
        </w:rPr>
        <w:t>价款调整在工程结算时进行。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总价措施项目费：</w:t>
      </w:r>
      <w:r>
        <w:rPr>
          <w:rFonts w:hint="eastAsia" w:ascii="仿宋" w:hAnsi="仿宋" w:eastAsia="仿宋" w:cs="仿宋"/>
          <w:color w:val="auto"/>
          <w:szCs w:val="21"/>
          <w:highlight w:val="none"/>
          <w:u w:val="single"/>
          <w:shd w:val="clear" w:color="auto" w:fill="FFFFFF"/>
        </w:rPr>
        <w:t>不调整。</w:t>
      </w:r>
    </w:p>
    <w:p>
      <w:pPr>
        <w:adjustRightInd w:val="0"/>
        <w:snapToGrid w:val="0"/>
        <w:spacing w:line="360" w:lineRule="auto"/>
        <w:ind w:firstLine="482" w:firstLineChars="200"/>
        <w:rPr>
          <w:rFonts w:hint="eastAsia" w:ascii="仿宋" w:hAnsi="仿宋" w:eastAsia="仿宋" w:cs="仿宋"/>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10.5承包人的合理化建议</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承包人提出合理化建议降低了合同价格或者提高了工程经济效益的奖励的方法和金额为：</w:t>
      </w:r>
      <w:r>
        <w:rPr>
          <w:rFonts w:hint="eastAsia" w:ascii="仿宋" w:hAnsi="仿宋" w:eastAsia="仿宋" w:cs="仿宋"/>
          <w:color w:val="auto"/>
          <w:szCs w:val="21"/>
          <w:highlight w:val="none"/>
          <w:u w:val="single"/>
          <w:shd w:val="clear" w:color="auto" w:fill="FFFFFF"/>
        </w:rPr>
        <w:t>无</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10.6变更引起的工期调整</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因重大设计变更引起工期变化的，合同当事人均可要求调整合同工期，由合同当事人按照第4.4款〔商定或确定〕并参考工程所在地的工期定额标准（如所在地没有工期定额标准，按国家工期定额标准）确定增减工期天数。由此增加的工期费用包含在合同价内，发包人不再另行支付。</w:t>
      </w:r>
    </w:p>
    <w:p>
      <w:pPr>
        <w:adjustRightInd w:val="0"/>
        <w:snapToGrid w:val="0"/>
        <w:spacing w:line="360" w:lineRule="auto"/>
        <w:ind w:firstLine="472" w:firstLineChars="196"/>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10.7 暂估价</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暂估价材料、暂估价专业工程项目明细详见附件：《暂估价一览表》。</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10.7.1 依法必须招标的暂估价项目</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对于依法必须招标的暂估价项目的确认和批准采取第</w:t>
      </w:r>
      <w:r>
        <w:rPr>
          <w:rFonts w:hint="eastAsia" w:ascii="仿宋" w:hAnsi="仿宋" w:eastAsia="仿宋" w:cs="仿宋"/>
          <w:color w:val="auto"/>
          <w:szCs w:val="21"/>
          <w:highlight w:val="none"/>
          <w:u w:val="single"/>
          <w:shd w:val="clear" w:color="auto" w:fill="FFFFFF"/>
        </w:rPr>
        <w:t xml:space="preserve">  2  </w:t>
      </w:r>
      <w:r>
        <w:rPr>
          <w:rFonts w:hint="eastAsia" w:ascii="仿宋" w:hAnsi="仿宋" w:eastAsia="仿宋" w:cs="仿宋"/>
          <w:color w:val="auto"/>
          <w:szCs w:val="21"/>
          <w:highlight w:val="none"/>
          <w:shd w:val="clear" w:color="auto" w:fill="FFFFFF"/>
        </w:rPr>
        <w:t>种方式确定。承包人不参加投标的专业工程发包招标，由发包人与承包人共同作为招标人，采用</w:t>
      </w:r>
      <w:r>
        <w:rPr>
          <w:rFonts w:hint="eastAsia" w:ascii="仿宋" w:hAnsi="仿宋" w:eastAsia="仿宋" w:cs="仿宋"/>
          <w:color w:val="auto"/>
          <w:szCs w:val="21"/>
          <w:highlight w:val="none"/>
          <w:u w:val="single"/>
          <w:shd w:val="clear" w:color="auto" w:fill="FFFFFF"/>
        </w:rPr>
        <w:t xml:space="preserve">通用条款10.7.1第  2  </w:t>
      </w:r>
      <w:r>
        <w:rPr>
          <w:rFonts w:hint="eastAsia" w:ascii="仿宋" w:hAnsi="仿宋" w:eastAsia="仿宋" w:cs="仿宋"/>
          <w:color w:val="auto"/>
          <w:szCs w:val="21"/>
          <w:highlight w:val="none"/>
          <w:shd w:val="clear" w:color="auto" w:fill="FFFFFF"/>
        </w:rPr>
        <w:t>种方式确定；承包人参加投标的专业工程发包招标，由发包人作为招标人。组织招标工作有关的费用由专业工程中标人承担。</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10.7.2 不属于依法必须招标的暂估价项目</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对于不属于依法必须招标的暂估价项目的确认和批准采取通用条款10.7.1第1种方式确定。</w:t>
      </w:r>
    </w:p>
    <w:p>
      <w:pPr>
        <w:adjustRightInd w:val="0"/>
        <w:snapToGrid w:val="0"/>
        <w:spacing w:line="360" w:lineRule="auto"/>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除专用合同条款另有约定外，对于不属于依法必须招标的暂估价项目，采取以下第1种方式确定：</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第1种方式：对于不属于依法必须招标的暂估价项目，按本项约定确认和批准：</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（2）发包人认为承包人确定的供应商、分包人无法满足工程质量或合同要求的，发包人可以要求承包人重新确定暂估价项目的供应商、分包人;</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（3）承包人应当在签订暂估价合同后7天内，将暂估价合同副本报送发包人留存。</w:t>
      </w:r>
    </w:p>
    <w:p>
      <w:pPr>
        <w:adjustRightInd w:val="0"/>
        <w:snapToGrid w:val="0"/>
        <w:spacing w:line="360" w:lineRule="auto"/>
        <w:ind w:firstLine="480" w:firstLineChars="200"/>
        <w:jc w:val="left"/>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szCs w:val="21"/>
          <w:highlight w:val="none"/>
          <w:shd w:val="clear" w:color="auto" w:fill="FFFFFF"/>
        </w:rPr>
        <w:t>第3种方式：</w:t>
      </w:r>
      <w:r>
        <w:rPr>
          <w:rFonts w:hint="eastAsia" w:ascii="仿宋" w:hAnsi="仿宋" w:eastAsia="仿宋" w:cs="仿宋"/>
          <w:color w:val="auto"/>
          <w:kern w:val="0"/>
          <w:szCs w:val="21"/>
          <w:highlight w:val="none"/>
          <w:shd w:val="clear" w:color="auto" w:fill="FFFFFF"/>
        </w:rPr>
        <w:t>承包人直接实施的暂估价项目</w:t>
      </w:r>
    </w:p>
    <w:p>
      <w:pPr>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承包人直接实施的暂估价项目的约定：</w:t>
      </w:r>
      <w:r>
        <w:rPr>
          <w:rFonts w:hint="eastAsia" w:ascii="仿宋" w:hAnsi="仿宋" w:eastAsia="仿宋" w:cs="仿宋"/>
          <w:color w:val="auto"/>
          <w:szCs w:val="21"/>
          <w:highlight w:val="none"/>
          <w:u w:val="single"/>
          <w:shd w:val="clear" w:color="auto" w:fill="FFFFFF"/>
        </w:rPr>
        <w:t xml:space="preserve">    /          </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szCs w:val="21"/>
          <w:highlight w:val="none"/>
          <w:shd w:val="clear" w:color="auto" w:fill="FFFFFF"/>
        </w:rPr>
        <w:t>第3种方式：</w:t>
      </w:r>
      <w:r>
        <w:rPr>
          <w:rFonts w:hint="eastAsia" w:ascii="仿宋" w:hAnsi="仿宋" w:eastAsia="仿宋" w:cs="仿宋"/>
          <w:color w:val="auto"/>
          <w:kern w:val="0"/>
          <w:szCs w:val="21"/>
          <w:highlight w:val="none"/>
          <w:shd w:val="clear" w:color="auto" w:fill="FFFFFF"/>
        </w:rPr>
        <w:t>承包人直接实施的暂估价项目</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承包人直接实施的暂估价项目的约定：</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10.8 暂列金额</w:t>
      </w:r>
    </w:p>
    <w:p>
      <w:pPr>
        <w:autoSpaceDE w:val="0"/>
        <w:autoSpaceDN w:val="0"/>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合同当事人关于暂列金额使用的约定：</w:t>
      </w:r>
      <w:r>
        <w:rPr>
          <w:rFonts w:hint="eastAsia" w:ascii="仿宋" w:hAnsi="仿宋" w:eastAsia="仿宋" w:cs="仿宋"/>
          <w:color w:val="auto"/>
          <w:szCs w:val="21"/>
          <w:highlight w:val="none"/>
          <w:u w:val="single"/>
          <w:shd w:val="clear" w:color="auto" w:fill="FFFFFF"/>
        </w:rPr>
        <w:t>暂列金额项目根据现场情况由发包人确定</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11. 价格调整</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11.1 市场价格波动引起的调整</w:t>
      </w:r>
    </w:p>
    <w:p>
      <w:pPr>
        <w:adjustRightInd w:val="0"/>
        <w:snapToGrid w:val="0"/>
        <w:spacing w:line="360" w:lineRule="auto"/>
        <w:ind w:firstLine="482" w:firstLineChars="200"/>
        <w:rPr>
          <w:rFonts w:hint="eastAsia" w:ascii="仿宋" w:hAnsi="仿宋" w:eastAsia="仿宋" w:cs="仿宋"/>
          <w:b/>
          <w:bCs/>
          <w:color w:val="auto"/>
          <w:szCs w:val="21"/>
          <w:highlight w:val="none"/>
          <w:u w:val="single"/>
          <w:shd w:val="clear" w:color="auto" w:fill="FFFFFF"/>
        </w:rPr>
      </w:pPr>
      <w:r>
        <w:rPr>
          <w:rFonts w:hint="eastAsia" w:ascii="仿宋" w:hAnsi="仿宋" w:eastAsia="仿宋" w:cs="仿宋"/>
          <w:b/>
          <w:bCs/>
          <w:color w:val="auto"/>
          <w:szCs w:val="21"/>
          <w:highlight w:val="none"/>
          <w:shd w:val="clear" w:color="auto" w:fill="FFFFFF"/>
        </w:rPr>
        <w:t>市场价格波动是否调整合同价格的约定：</w:t>
      </w:r>
      <w:r>
        <w:rPr>
          <w:rFonts w:hint="eastAsia" w:ascii="仿宋" w:hAnsi="仿宋" w:eastAsia="仿宋" w:cs="仿宋"/>
          <w:b/>
          <w:bCs/>
          <w:color w:val="auto"/>
          <w:szCs w:val="21"/>
          <w:highlight w:val="none"/>
          <w:u w:val="single"/>
          <w:shd w:val="clear" w:color="auto" w:fill="FFFFFF"/>
        </w:rPr>
        <w:t xml:space="preserve"> / 。</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 合同价格、计量与支付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12.1 合同价格形式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1.单价合同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综合单价包含的风险范围：</w:t>
      </w:r>
      <w:r>
        <w:rPr>
          <w:rFonts w:hint="eastAsia" w:ascii="仿宋" w:hAnsi="仿宋" w:eastAsia="仿宋" w:cs="仿宋"/>
          <w:color w:val="auto"/>
          <w:szCs w:val="21"/>
          <w:highlight w:val="none"/>
          <w:u w:val="single"/>
          <w:shd w:val="clear" w:color="auto" w:fill="FFFFFF"/>
        </w:rPr>
        <w:t>不适用</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风险费用的计算方法：</w:t>
      </w:r>
      <w:r>
        <w:rPr>
          <w:rFonts w:hint="eastAsia" w:ascii="仿宋" w:hAnsi="仿宋" w:eastAsia="仿宋" w:cs="仿宋"/>
          <w:color w:val="auto"/>
          <w:szCs w:val="21"/>
          <w:highlight w:val="none"/>
          <w:u w:val="single"/>
          <w:shd w:val="clear" w:color="auto" w:fill="FFFFFF"/>
        </w:rPr>
        <w:t>不适用</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风险范围以外合同价格的调整方法：</w:t>
      </w:r>
      <w:r>
        <w:rPr>
          <w:rFonts w:hint="eastAsia" w:ascii="仿宋" w:hAnsi="仿宋" w:eastAsia="仿宋" w:cs="仿宋"/>
          <w:color w:val="auto"/>
          <w:szCs w:val="21"/>
          <w:highlight w:val="none"/>
          <w:u w:val="single"/>
          <w:shd w:val="clear" w:color="auto" w:fill="FFFFFF"/>
        </w:rPr>
        <w:t>不适用</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2.总价合同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总价包含的风险范围：</w:t>
      </w:r>
      <w:r>
        <w:rPr>
          <w:rFonts w:hint="eastAsia" w:ascii="仿宋" w:hAnsi="仿宋" w:eastAsia="仿宋" w:cs="仿宋"/>
          <w:color w:val="auto"/>
          <w:szCs w:val="21"/>
          <w:highlight w:val="none"/>
          <w:u w:val="single"/>
          <w:shd w:val="clear" w:color="auto" w:fill="FFFFFF"/>
        </w:rPr>
        <w:t>施工期间除不可抗力及国家规定必须调整项目外的所有因素。</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风险费用的计算方法：</w:t>
      </w:r>
      <w:r>
        <w:rPr>
          <w:rFonts w:hint="eastAsia" w:ascii="仿宋" w:hAnsi="仿宋" w:eastAsia="仿宋" w:cs="仿宋"/>
          <w:color w:val="auto"/>
          <w:szCs w:val="21"/>
          <w:highlight w:val="none"/>
          <w:u w:val="single"/>
          <w:shd w:val="clear" w:color="auto" w:fill="FFFFFF"/>
        </w:rPr>
        <w:t xml:space="preserve">   已在投标报价中考虑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风险范围以外合同价格的调整方法：</w:t>
      </w:r>
      <w:r>
        <w:rPr>
          <w:rFonts w:hint="eastAsia" w:ascii="仿宋" w:hAnsi="仿宋" w:eastAsia="仿宋" w:cs="仿宋"/>
          <w:color w:val="auto"/>
          <w:szCs w:val="21"/>
          <w:highlight w:val="none"/>
          <w:u w:val="single"/>
          <w:shd w:val="clear" w:color="auto" w:fill="FFFFFF"/>
        </w:rPr>
        <w:t>1、在工程施工过程中除经业主单位及发包人认可的非承包人原因引起的设计变更和工程签证以及合同中明确的可调整工程造价的允许调整外，其余不得变动。2、施工过程中因非承包人原因引起的设计变更和工程签证而引起费用增减的计算办法：设计变更和工程签证内容经业主单位及发包人和监理工程师核准，工程量根据设计变更审批表和工程现场签证审批表按实计算。其价格，投标文件中有相同子目的，按相同子目的价格；有相似子目的，按相似子目换算后的价格；3、施工过程中因设计变更等原因，而发生的新增子目，即原投标文件无相同或相似子目的计算方法，定额套用《河南省房屋建筑与装饰工程预算定额》（HA 01-31-2016）《河南省通用安装工程预算定额》（HA02-31-2016）及省市有关计价文件，材料价格采用同期郑州市信息价格，优惠幅度为投标总报价与招标控制价之间的优惠比例。</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3.其他价格方式：</w:t>
      </w:r>
      <w:r>
        <w:rPr>
          <w:rFonts w:hint="eastAsia" w:ascii="仿宋" w:hAnsi="仿宋" w:eastAsia="仿宋" w:cs="仿宋"/>
          <w:color w:val="auto"/>
          <w:szCs w:val="21"/>
          <w:highlight w:val="none"/>
          <w:u w:val="single"/>
          <w:shd w:val="clear" w:color="auto" w:fill="FFFFFF"/>
        </w:rPr>
        <w:t>不适用</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12.2 预付款</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本工程</w:t>
      </w:r>
      <w:r>
        <w:rPr>
          <w:rFonts w:hint="eastAsia" w:ascii="仿宋" w:hAnsi="仿宋" w:eastAsia="仿宋" w:cs="仿宋"/>
          <w:color w:val="auto"/>
          <w:szCs w:val="21"/>
          <w:highlight w:val="none"/>
          <w:u w:val="single"/>
          <w:shd w:val="clear" w:color="auto" w:fill="FFFFFF"/>
        </w:rPr>
        <w:t>无预付款</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12.3 计量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12.3.1 计量原则</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工程量计算规则：</w:t>
      </w:r>
      <w:r>
        <w:rPr>
          <w:rFonts w:hint="eastAsia" w:ascii="仿宋" w:hAnsi="仿宋" w:eastAsia="仿宋" w:cs="仿宋"/>
          <w:color w:val="auto"/>
          <w:szCs w:val="21"/>
          <w:highlight w:val="none"/>
          <w:u w:val="single"/>
          <w:shd w:val="clear" w:color="auto" w:fill="FFFFFF"/>
        </w:rPr>
        <w:t>按照国家、省、市相关规定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12.3.2 计量周期</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关于计量周期的约定：</w:t>
      </w:r>
      <w:r>
        <w:rPr>
          <w:rFonts w:hint="eastAsia" w:ascii="仿宋" w:hAnsi="仿宋" w:eastAsia="仿宋" w:cs="仿宋"/>
          <w:color w:val="auto"/>
          <w:szCs w:val="21"/>
          <w:highlight w:val="none"/>
          <w:u w:val="singl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12.3.3 单价合同的计量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关于单价合同计量的约定：</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12.3.4 总价合同的计量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关于总价合同计量的约定：</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12.3.5总价合同采用支付分解表计量支付的，是否适用第</w:t>
      </w:r>
      <w:r>
        <w:rPr>
          <w:rFonts w:hint="eastAsia" w:ascii="仿宋" w:hAnsi="仿宋" w:eastAsia="仿宋" w:cs="仿宋"/>
          <w:color w:val="auto"/>
          <w:kern w:val="0"/>
          <w:szCs w:val="21"/>
          <w:highlight w:val="none"/>
          <w:shd w:val="clear" w:color="auto" w:fill="FFFFFF"/>
        </w:rPr>
        <w:t xml:space="preserve">12.3.4 </w:t>
      </w:r>
      <w:r>
        <w:rPr>
          <w:rFonts w:hint="eastAsia" w:ascii="仿宋" w:hAnsi="仿宋" w:eastAsia="仿宋" w:cs="仿宋"/>
          <w:color w:val="auto"/>
          <w:szCs w:val="21"/>
          <w:highlight w:val="none"/>
          <w:shd w:val="clear" w:color="auto" w:fill="FFFFFF"/>
        </w:rPr>
        <w:t>项</w:t>
      </w:r>
      <w:r>
        <w:rPr>
          <w:rFonts w:hint="eastAsia" w:ascii="仿宋" w:hAnsi="仿宋" w:eastAsia="仿宋" w:cs="仿宋"/>
          <w:color w:val="auto"/>
          <w:kern w:val="0"/>
          <w:szCs w:val="21"/>
          <w:highlight w:val="none"/>
          <w:shd w:val="clear" w:color="auto" w:fill="FFFFFF"/>
        </w:rPr>
        <w:t>〔总价合同的计量〕</w:t>
      </w:r>
      <w:r>
        <w:rPr>
          <w:rFonts w:hint="eastAsia" w:ascii="仿宋" w:hAnsi="仿宋" w:eastAsia="仿宋" w:cs="仿宋"/>
          <w:color w:val="auto"/>
          <w:szCs w:val="21"/>
          <w:highlight w:val="none"/>
          <w:shd w:val="clear" w:color="auto" w:fill="FFFFFF"/>
        </w:rPr>
        <w:t>约定进行计量：</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12.3.6 其他价格形式合同的计</w:t>
      </w:r>
      <w:r>
        <w:rPr>
          <w:rFonts w:hint="eastAsia" w:ascii="仿宋" w:hAnsi="仿宋" w:eastAsia="仿宋" w:cs="仿宋"/>
          <w:color w:val="auto"/>
          <w:szCs w:val="21"/>
          <w:highlight w:val="none"/>
          <w:u w:val="single"/>
          <w:shd w:val="clear" w:color="auto" w:fill="FFFFFF"/>
        </w:rPr>
        <w:t>量</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其他价格形式的计量方式和程序：／。</w:t>
      </w:r>
    </w:p>
    <w:p>
      <w:pPr>
        <w:autoSpaceDE w:val="0"/>
        <w:autoSpaceDN w:val="0"/>
        <w:adjustRightInd w:val="0"/>
        <w:snapToGrid w:val="0"/>
        <w:spacing w:line="360" w:lineRule="auto"/>
        <w:ind w:firstLine="482" w:firstLineChars="200"/>
        <w:jc w:val="left"/>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12.4 工程进度款支付</w:t>
      </w:r>
    </w:p>
    <w:p>
      <w:pPr>
        <w:autoSpaceDE w:val="0"/>
        <w:autoSpaceDN w:val="0"/>
        <w:adjustRightInd w:val="0"/>
        <w:snapToGrid w:val="0"/>
        <w:spacing w:line="360" w:lineRule="auto"/>
        <w:ind w:firstLine="482" w:firstLineChars="200"/>
        <w:jc w:val="left"/>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12.4.1 付款周期  （1）</w:t>
      </w:r>
      <w:r>
        <w:rPr>
          <w:rFonts w:hint="eastAsia" w:ascii="仿宋" w:hAnsi="仿宋" w:eastAsia="仿宋" w:cs="仿宋"/>
          <w:b/>
          <w:bCs/>
          <w:color w:val="auto"/>
          <w:szCs w:val="21"/>
          <w:highlight w:val="none"/>
          <w:shd w:val="clear" w:color="auto" w:fill="FFFFFF"/>
          <w:lang w:eastAsia="zh-CN"/>
        </w:rPr>
        <w:t>主要设备进场完毕、线缆敷设完成支付至合同价的</w:t>
      </w:r>
      <w:r>
        <w:rPr>
          <w:rFonts w:hint="eastAsia" w:ascii="仿宋" w:hAnsi="仿宋" w:eastAsia="仿宋" w:cs="仿宋"/>
          <w:b/>
          <w:bCs/>
          <w:color w:val="auto"/>
          <w:szCs w:val="21"/>
          <w:highlight w:val="none"/>
          <w:shd w:val="clear" w:color="auto" w:fill="FFFFFF"/>
          <w:lang w:val="en-US" w:eastAsia="zh-CN"/>
        </w:rPr>
        <w:t>40%，</w:t>
      </w:r>
      <w:r>
        <w:rPr>
          <w:rFonts w:hint="eastAsia" w:ascii="仿宋" w:hAnsi="仿宋" w:eastAsia="仿宋" w:cs="仿宋"/>
          <w:b/>
          <w:bCs/>
          <w:color w:val="auto"/>
          <w:szCs w:val="21"/>
          <w:highlight w:val="none"/>
          <w:shd w:val="clear" w:color="auto" w:fill="FFFFFF"/>
        </w:rPr>
        <w:t>工程竣工验收合格之日起90日历天内，支付至合同价款的60%；（2）</w:t>
      </w:r>
      <w:r>
        <w:rPr>
          <w:rFonts w:hint="eastAsia" w:ascii="仿宋" w:hAnsi="仿宋" w:eastAsia="仿宋" w:cs="仿宋"/>
          <w:b/>
          <w:color w:val="auto"/>
          <w:szCs w:val="21"/>
          <w:highlight w:val="none"/>
          <w:shd w:val="clear" w:color="auto" w:fill="FFFFFF"/>
        </w:rPr>
        <w:t>待学校审计部门审计完毕并经合同双方确认后，</w:t>
      </w:r>
      <w:r>
        <w:rPr>
          <w:rFonts w:hint="eastAsia" w:ascii="仿宋" w:hAnsi="仿宋" w:eastAsia="仿宋" w:cs="仿宋"/>
          <w:b/>
          <w:bCs/>
          <w:color w:val="auto"/>
          <w:szCs w:val="21"/>
          <w:highlight w:val="none"/>
          <w:shd w:val="clear" w:color="auto" w:fill="FFFFFF"/>
        </w:rPr>
        <w:t>竣工验收合格之日起满一年后90日历天内，付至审定价款的</w:t>
      </w:r>
      <w:r>
        <w:rPr>
          <w:rFonts w:hint="eastAsia" w:ascii="仿宋" w:hAnsi="仿宋" w:eastAsia="仿宋" w:cs="仿宋"/>
          <w:b/>
          <w:bCs/>
          <w:color w:val="auto"/>
          <w:szCs w:val="21"/>
          <w:highlight w:val="none"/>
          <w:shd w:val="clear" w:color="auto" w:fill="FFFFFF"/>
          <w:lang w:val="en-US" w:eastAsia="zh-CN"/>
        </w:rPr>
        <w:t>10</w:t>
      </w:r>
      <w:r>
        <w:rPr>
          <w:rFonts w:hint="eastAsia" w:ascii="仿宋" w:hAnsi="仿宋" w:eastAsia="仿宋" w:cs="仿宋"/>
          <w:b/>
          <w:bCs/>
          <w:color w:val="auto"/>
          <w:szCs w:val="21"/>
          <w:highlight w:val="none"/>
          <w:shd w:val="clear" w:color="auto" w:fill="FFFFFF"/>
        </w:rPr>
        <w:t>0%；</w:t>
      </w:r>
      <w:r>
        <w:rPr>
          <w:rFonts w:hint="eastAsia" w:ascii="仿宋" w:hAnsi="仿宋" w:eastAsia="仿宋" w:cs="仿宋"/>
          <w:b/>
          <w:bCs/>
          <w:color w:val="auto"/>
          <w:szCs w:val="21"/>
          <w:highlight w:val="none"/>
          <w:shd w:val="clear" w:color="auto" w:fill="FFFFFF"/>
          <w:lang w:eastAsia="zh-CN"/>
        </w:rPr>
        <w:t>（</w:t>
      </w:r>
      <w:r>
        <w:rPr>
          <w:rFonts w:hint="eastAsia" w:ascii="仿宋" w:hAnsi="仿宋" w:eastAsia="仿宋" w:cs="仿宋"/>
          <w:b/>
          <w:bCs/>
          <w:color w:val="auto"/>
          <w:szCs w:val="21"/>
          <w:highlight w:val="none"/>
          <w:shd w:val="clear" w:color="auto" w:fill="FFFFFF"/>
          <w:lang w:val="en-US" w:eastAsia="zh-CN"/>
        </w:rPr>
        <w:t>3</w:t>
      </w:r>
      <w:r>
        <w:rPr>
          <w:rFonts w:hint="eastAsia" w:ascii="仿宋" w:hAnsi="仿宋" w:eastAsia="仿宋" w:cs="仿宋"/>
          <w:b/>
          <w:bCs/>
          <w:color w:val="auto"/>
          <w:szCs w:val="21"/>
          <w:highlight w:val="none"/>
          <w:shd w:val="clear" w:color="auto" w:fill="FFFFFF"/>
          <w:lang w:eastAsia="zh-CN"/>
        </w:rPr>
        <w:t>）验收合格后，履约保证金自动转为质保金。</w:t>
      </w:r>
      <w:r>
        <w:rPr>
          <w:rFonts w:hint="eastAsia" w:ascii="仿宋" w:hAnsi="仿宋" w:eastAsia="仿宋" w:cs="仿宋"/>
          <w:b/>
          <w:bCs/>
          <w:color w:val="auto"/>
          <w:szCs w:val="21"/>
          <w:highlight w:val="none"/>
          <w:shd w:val="clear" w:color="auto" w:fill="FFFFFF"/>
        </w:rPr>
        <w:t xml:space="preserve">发包人支付前，承包人应提供符合发包人财务要求的相应金额的发票，承包人提供发票前，发包人有权拒绝付款而不视为违约。 </w:t>
      </w:r>
    </w:p>
    <w:p>
      <w:pPr>
        <w:autoSpaceDE w:val="0"/>
        <w:autoSpaceDN w:val="0"/>
        <w:adjustRightInd w:val="0"/>
        <w:snapToGrid w:val="0"/>
        <w:spacing w:line="360" w:lineRule="auto"/>
        <w:ind w:firstLine="480" w:firstLineChars="200"/>
        <w:jc w:val="left"/>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12.4.2 进度付款申请单的编制</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关于进度付款申请单编制的约定：</w:t>
      </w:r>
      <w:r>
        <w:rPr>
          <w:rFonts w:hint="eastAsia" w:ascii="仿宋" w:hAnsi="仿宋" w:eastAsia="仿宋" w:cs="仿宋"/>
          <w:color w:val="auto"/>
          <w:szCs w:val="21"/>
          <w:highlight w:val="none"/>
          <w:u w:val="single"/>
          <w:shd w:val="clear" w:color="auto" w:fill="FFFFFF"/>
        </w:rPr>
        <w:t>根据发包人及业主单位要求执行</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12.4.4 进度款审核和支付</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（1）监理人审查并报送发包人的期限：</w:t>
      </w:r>
      <w:r>
        <w:rPr>
          <w:rFonts w:hint="eastAsia" w:ascii="仿宋" w:hAnsi="仿宋" w:eastAsia="仿宋" w:cs="仿宋"/>
          <w:color w:val="auto"/>
          <w:szCs w:val="21"/>
          <w:highlight w:val="none"/>
          <w:u w:val="single"/>
          <w:shd w:val="clear" w:color="auto" w:fill="FFFFFF"/>
        </w:rPr>
        <w:t xml:space="preserve">  7天</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发包人完成审批并签发进度款支付证书的期限：</w:t>
      </w:r>
      <w:r>
        <w:rPr>
          <w:rFonts w:hint="eastAsia" w:ascii="仿宋" w:hAnsi="仿宋" w:eastAsia="仿宋" w:cs="仿宋"/>
          <w:color w:val="auto"/>
          <w:szCs w:val="21"/>
          <w:highlight w:val="none"/>
          <w:u w:val="single"/>
          <w:shd w:val="clear" w:color="auto" w:fill="FFFFFF"/>
        </w:rPr>
        <w:t>执行学校规定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业主单位逾期支付进度款的违约金的计算方式：</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12.4.6 支付分解表的编制</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2.总价合同支付分解表的编制与审批：</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3.单价合同的总价项目支付分解表的编制与审批：</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13.验收和工程试车</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13.1 分部分项工程验收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13.1.2监理人不能按时进行验收时，应提前</w:t>
      </w:r>
      <w:r>
        <w:rPr>
          <w:rFonts w:hint="eastAsia" w:ascii="仿宋" w:hAnsi="仿宋" w:eastAsia="仿宋" w:cs="仿宋"/>
          <w:color w:val="auto"/>
          <w:szCs w:val="21"/>
          <w:highlight w:val="none"/>
          <w:u w:val="single"/>
          <w:shd w:val="clear" w:color="auto" w:fill="FFFFFF"/>
        </w:rPr>
        <w:t xml:space="preserve">   24   </w:t>
      </w:r>
      <w:r>
        <w:rPr>
          <w:rFonts w:hint="eastAsia" w:ascii="仿宋" w:hAnsi="仿宋" w:eastAsia="仿宋" w:cs="仿宋"/>
          <w:color w:val="auto"/>
          <w:szCs w:val="21"/>
          <w:highlight w:val="none"/>
          <w:shd w:val="clear" w:color="auto" w:fill="FFFFFF"/>
        </w:rPr>
        <w:t>小时提交书面延期要求。</w:t>
      </w:r>
    </w:p>
    <w:p>
      <w:pPr>
        <w:adjustRightInd w:val="0"/>
        <w:snapToGrid w:val="0"/>
        <w:spacing w:line="360" w:lineRule="auto"/>
        <w:ind w:firstLine="480"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关于延期最长不得超过：</w:t>
      </w:r>
      <w:r>
        <w:rPr>
          <w:rFonts w:hint="eastAsia" w:ascii="仿宋" w:hAnsi="仿宋" w:eastAsia="仿宋" w:cs="仿宋"/>
          <w:color w:val="auto"/>
          <w:szCs w:val="21"/>
          <w:highlight w:val="none"/>
          <w:u w:val="single"/>
          <w:shd w:val="clear" w:color="auto" w:fill="FFFFFF"/>
        </w:rPr>
        <w:t xml:space="preserve">  48  </w:t>
      </w:r>
      <w:r>
        <w:rPr>
          <w:rFonts w:hint="eastAsia" w:ascii="仿宋" w:hAnsi="仿宋" w:eastAsia="仿宋" w:cs="仿宋"/>
          <w:color w:val="auto"/>
          <w:szCs w:val="21"/>
          <w:highlight w:val="none"/>
          <w:shd w:val="clear" w:color="auto" w:fill="FFFFFF"/>
        </w:rPr>
        <w:t>小时。</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13.2 竣工验收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13.2.2竣工验收程序</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关于竣工验收程序的约定：</w:t>
      </w:r>
      <w:r>
        <w:rPr>
          <w:rFonts w:hint="eastAsia" w:ascii="仿宋" w:hAnsi="仿宋" w:eastAsia="仿宋" w:cs="仿宋"/>
          <w:color w:val="auto"/>
          <w:szCs w:val="21"/>
          <w:highlight w:val="none"/>
          <w:u w:val="single"/>
          <w:shd w:val="clear" w:color="auto" w:fill="FFFFFF"/>
        </w:rPr>
        <w:t>提请竣工验收前，承包人必须安排人员对于室内以及外墙面进行清洁，否则不接收竣工验收报告。发包人应在收到经监理人审核通过的竣工报告后28天内组织设计单位、监理单位、勘察单位进行验收。验收通过的，发包人应在验收通过后14天内签署工程验收合格有关证明，并确定提交竣工报告的时间为实际竣工日期。验收不通过，应由承包人进行整改并在整改后提交整改报告，复验通过后，竣工日期以最后一次验收合格的时间为准。</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发包人不按照本项约定组织竣工验收、颁发工程接收证书的违约金的计算方法：</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13.2.5移交、接收全部与部分工程</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承包人向发包人移交工程的期限：</w:t>
      </w:r>
      <w:r>
        <w:rPr>
          <w:rFonts w:hint="eastAsia" w:ascii="仿宋" w:hAnsi="仿宋" w:eastAsia="仿宋" w:cs="仿宋"/>
          <w:color w:val="auto"/>
          <w:szCs w:val="21"/>
          <w:highlight w:val="none"/>
          <w:u w:val="single"/>
          <w:shd w:val="clear" w:color="auto" w:fill="FFFFFF"/>
        </w:rPr>
        <w:t>学校验收通过后7日内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发包人未按本合同约定接收全部或部分工程的，违约金的计算方法为：</w:t>
      </w:r>
      <w:r>
        <w:rPr>
          <w:rFonts w:hint="eastAsia" w:ascii="仿宋" w:hAnsi="仿宋" w:eastAsia="仿宋" w:cs="仿宋"/>
          <w:color w:val="auto"/>
          <w:szCs w:val="21"/>
          <w:highlight w:val="none"/>
          <w:u w:val="singl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承包人未按时移交工程的，违约金的计算方法为：</w:t>
      </w:r>
      <w:r>
        <w:rPr>
          <w:rFonts w:hint="eastAsia" w:ascii="仿宋" w:hAnsi="仿宋" w:eastAsia="仿宋" w:cs="仿宋"/>
          <w:color w:val="auto"/>
          <w:szCs w:val="21"/>
          <w:highlight w:val="none"/>
          <w:u w:val="single"/>
          <w:shd w:val="clear" w:color="auto" w:fill="FFFFFF"/>
        </w:rPr>
        <w:t>承包人无正当理由的每拖延一天按合同总价的万分之二向发包人支付违约金。</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13.3 工程试车</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13.3.1 试车程序</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工程试车内容：</w:t>
      </w:r>
      <w:r>
        <w:rPr>
          <w:rFonts w:hint="eastAsia" w:ascii="仿宋" w:hAnsi="仿宋" w:eastAsia="仿宋" w:cs="仿宋"/>
          <w:color w:val="auto"/>
          <w:szCs w:val="21"/>
          <w:highlight w:val="none"/>
          <w:u w:val="single"/>
          <w:shd w:val="clear" w:color="auto" w:fill="FFFFFF"/>
        </w:rPr>
        <w:t xml:space="preserve">执行通用条款13.3.1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（1）单机无负荷试车费用由</w:t>
      </w:r>
      <w:r>
        <w:rPr>
          <w:rFonts w:hint="eastAsia" w:ascii="仿宋" w:hAnsi="仿宋" w:eastAsia="仿宋" w:cs="仿宋"/>
          <w:color w:val="auto"/>
          <w:szCs w:val="21"/>
          <w:highlight w:val="none"/>
          <w:u w:val="single"/>
          <w:shd w:val="clear" w:color="auto" w:fill="FFFFFF"/>
        </w:rPr>
        <w:t>承包方</w:t>
      </w:r>
      <w:r>
        <w:rPr>
          <w:rFonts w:hint="eastAsia" w:ascii="仿宋" w:hAnsi="仿宋" w:eastAsia="仿宋" w:cs="仿宋"/>
          <w:color w:val="auto"/>
          <w:kern w:val="0"/>
          <w:szCs w:val="21"/>
          <w:highlight w:val="none"/>
          <w:shd w:val="clear" w:color="auto" w:fill="FFFFFF"/>
        </w:rPr>
        <w:t>承担；</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（2）无负荷联动试车费用由</w:t>
      </w:r>
      <w:r>
        <w:rPr>
          <w:rFonts w:hint="eastAsia" w:ascii="仿宋" w:hAnsi="仿宋" w:eastAsia="仿宋" w:cs="仿宋"/>
          <w:color w:val="auto"/>
          <w:szCs w:val="21"/>
          <w:highlight w:val="none"/>
          <w:u w:val="single"/>
          <w:shd w:val="clear" w:color="auto" w:fill="FFFFFF"/>
        </w:rPr>
        <w:t>承包方</w:t>
      </w:r>
      <w:r>
        <w:rPr>
          <w:rFonts w:hint="eastAsia" w:ascii="仿宋" w:hAnsi="仿宋" w:eastAsia="仿宋" w:cs="仿宋"/>
          <w:color w:val="auto"/>
          <w:kern w:val="0"/>
          <w:szCs w:val="21"/>
          <w:highlight w:val="none"/>
          <w:shd w:val="clear" w:color="auto" w:fill="FFFFFF"/>
        </w:rPr>
        <w:t>承担。</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13.3.3 投料试车</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关于投料试车相关事项的约定：</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13.6 竣工退场</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13.6.1 竣工退场</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承包人完成竣工退场的期限：</w:t>
      </w:r>
      <w:r>
        <w:rPr>
          <w:rFonts w:hint="eastAsia" w:ascii="仿宋" w:hAnsi="仿宋" w:eastAsia="仿宋" w:cs="仿宋"/>
          <w:color w:val="auto"/>
          <w:szCs w:val="21"/>
          <w:highlight w:val="none"/>
          <w:u w:val="single"/>
          <w:shd w:val="clear" w:color="auto" w:fill="FFFFFF"/>
        </w:rPr>
        <w:t>竣工验收通过后15天内承包人应退场完毕，人走场清。逾期每天支付违约金1000元，对于遗留的建筑垃圾清理不到位者，发包人可以委托第三方完成，按实际发生费用双倍处罚</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14.竣工结算</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本项目实行全过程跟踪审计，工程结算由招标人审计处</w:t>
      </w:r>
      <w:r>
        <w:rPr>
          <w:rFonts w:hint="eastAsia" w:ascii="仿宋" w:hAnsi="仿宋" w:eastAsia="仿宋" w:cs="仿宋"/>
          <w:color w:val="auto"/>
          <w:szCs w:val="21"/>
          <w:highlight w:val="none"/>
          <w:shd w:val="clear" w:color="auto" w:fill="FFFFFF"/>
          <w:lang w:eastAsia="zh-CN"/>
        </w:rPr>
        <w:t>、后勤服务中心</w:t>
      </w:r>
      <w:r>
        <w:rPr>
          <w:rFonts w:hint="eastAsia" w:ascii="仿宋" w:hAnsi="仿宋" w:eastAsia="仿宋" w:cs="仿宋"/>
          <w:color w:val="auto"/>
          <w:szCs w:val="21"/>
          <w:highlight w:val="none"/>
          <w:shd w:val="clear" w:color="auto" w:fill="FFFFFF"/>
        </w:rPr>
        <w:t>参与，具体工作要求执行</w:t>
      </w:r>
      <w:r>
        <w:rPr>
          <w:rFonts w:hint="eastAsia" w:ascii="仿宋" w:hAnsi="仿宋" w:eastAsia="仿宋" w:cs="仿宋"/>
          <w:color w:val="auto"/>
          <w:szCs w:val="21"/>
          <w:highlight w:val="none"/>
          <w:shd w:val="clear" w:color="auto" w:fill="FFFFFF"/>
          <w:lang w:eastAsia="zh-CN"/>
        </w:rPr>
        <w:t>华北水利水电大学</w:t>
      </w:r>
      <w:r>
        <w:rPr>
          <w:rFonts w:hint="eastAsia" w:ascii="仿宋" w:hAnsi="仿宋" w:eastAsia="仿宋" w:cs="仿宋"/>
          <w:color w:val="auto"/>
          <w:szCs w:val="21"/>
          <w:highlight w:val="none"/>
          <w:shd w:val="clear" w:color="auto" w:fill="FFFFFF"/>
        </w:rPr>
        <w:t>审计处关于竣工结算、全过程跟踪审计等相关文件，审计有关费用按审计处与所委托的咨询公司合同约定计取。</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14.1 竣工付款申请</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承包人提交竣工付款申请单的期限：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竣工付款申请单应包括的内容：</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14.2 竣工结算审核</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发包人审批竣工付款申请单的期限：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发包人完成竣工付款的期限：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关于竣工付款证书异议部分复核的方式和程序：</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14.4 最终结清</w:t>
      </w:r>
    </w:p>
    <w:p>
      <w:pPr>
        <w:adjustRightInd w:val="0"/>
        <w:snapToGrid w:val="0"/>
        <w:spacing w:line="360" w:lineRule="auto"/>
        <w:ind w:firstLine="482" w:firstLineChars="200"/>
        <w:rPr>
          <w:rFonts w:hint="eastAsia" w:ascii="仿宋" w:hAnsi="仿宋" w:eastAsia="仿宋" w:cs="仿宋"/>
          <w:b/>
          <w:bCs/>
          <w:color w:val="auto"/>
          <w:kern w:val="0"/>
          <w:szCs w:val="21"/>
          <w:highlight w:val="none"/>
          <w:shd w:val="clear" w:color="auto" w:fill="FFFFFF"/>
        </w:rPr>
      </w:pPr>
      <w:r>
        <w:rPr>
          <w:rFonts w:hint="eastAsia" w:ascii="仿宋" w:hAnsi="仿宋" w:eastAsia="仿宋" w:cs="仿宋"/>
          <w:b/>
          <w:bCs/>
          <w:color w:val="auto"/>
          <w:kern w:val="0"/>
          <w:szCs w:val="21"/>
          <w:highlight w:val="none"/>
          <w:shd w:val="clear" w:color="auto" w:fill="FFFFFF"/>
        </w:rPr>
        <w:t>14.4.1 最终结清申请单</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承包人提交最终结清申请单的份数：</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kern w:val="0"/>
          <w:szCs w:val="21"/>
          <w:highlight w:val="none"/>
          <w:shd w:val="clear" w:color="auto" w:fill="FFFFFF"/>
        </w:rPr>
        <w:t>承包人提交最终结算申请单的期限：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14.4.2 最终结清证书和支付</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（1）发包人完成最终结清申请单的审批并颁发最终结清证书的期限：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（2）发包人完成支付的期限：</w:t>
      </w:r>
      <w:r>
        <w:rPr>
          <w:rFonts w:hint="eastAsia" w:ascii="仿宋" w:hAnsi="仿宋" w:eastAsia="仿宋" w:cs="仿宋"/>
          <w:color w:val="auto"/>
          <w:szCs w:val="21"/>
          <w:highlight w:val="none"/>
          <w:u w:val="single"/>
          <w:shd w:val="clear" w:color="auto" w:fill="FFFFFF"/>
        </w:rPr>
        <w:t>按15.3.2 条执行</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14.5 竣工结算审计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 xml:space="preserve">14.5.1发包人对竣工结算实行内部审计,最终结算价格以发包人审计处与承包人核对后出具的竣工结算审计审定表为准。其主要程序为: </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（1）施工单位在工程竣工验收合格后，在规定时间内及时编制竣工结算送审。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（2）工程项目管理部门对竣工结算资料进行审核并提出审核意见，符合送审条件后，向审计处提供施工单位竣工结算报告、完整的竣工结算资料及审核意见。</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（3）审计处自审或委托社会审计机构进行竣工结算审计，出具审计意见书。</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（4）竣工结算审计过程中，如出现较大分歧，由审计处主持召开协调会，工程项目管理部门、施工单位等单位参加，共同研究、协商解决。</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14.5.2对承包人报送的竣工结算，发包人核减率超过8%时，超出部分的审计费用由承包人承担，审计费用的费率为5%。</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15.缺陷责任期与保修</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15.2缺陷责任期</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缺陷责任期的具体期限：</w:t>
      </w:r>
      <w:r>
        <w:rPr>
          <w:rFonts w:hint="eastAsia" w:ascii="仿宋" w:hAnsi="仿宋" w:eastAsia="仿宋" w:cs="仿宋"/>
          <w:color w:val="auto"/>
          <w:szCs w:val="21"/>
          <w:highlight w:val="none"/>
          <w:u w:val="single"/>
          <w:shd w:val="clear" w:color="auto" w:fill="FFFFFF"/>
        </w:rPr>
        <w:t>24个月</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15.3 质量保证金</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关于是否扣留质量保证金的约定：</w:t>
      </w:r>
      <w:r>
        <w:rPr>
          <w:rFonts w:hint="eastAsia" w:ascii="仿宋" w:hAnsi="仿宋" w:eastAsia="仿宋" w:cs="仿宋"/>
          <w:color w:val="auto"/>
          <w:szCs w:val="21"/>
          <w:highlight w:val="none"/>
          <w:u w:val="single"/>
          <w:shd w:val="clear" w:color="auto" w:fill="FFFFFF"/>
          <w:lang w:eastAsia="zh-CN"/>
        </w:rPr>
        <w:t>履约保证金转为质保金</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15.3.1 承包人提供质量保证金的方式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质量保证金采用以下第</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u w:val="single"/>
          <w:shd w:val="clear" w:color="auto" w:fill="FFFFFF"/>
          <w:lang w:val="en-US" w:eastAsia="zh-CN"/>
        </w:rPr>
        <w:t>3</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种方式：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（1）质量保证金保函，保证金额为：</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w:t>
      </w:r>
      <w:r>
        <w:rPr>
          <w:rFonts w:hint="eastAsia" w:ascii="仿宋" w:hAnsi="仿宋" w:eastAsia="仿宋" w:cs="仿宋"/>
          <w:color w:val="auto"/>
          <w:szCs w:val="21"/>
          <w:highlight w:val="none"/>
          <w:shd w:val="clear" w:color="auto" w:fill="FFFFFF"/>
          <w:lang w:eastAsia="zh-CN"/>
        </w:rPr>
        <w:t>合同价</w:t>
      </w:r>
      <w:r>
        <w:rPr>
          <w:rFonts w:hint="eastAsia" w:ascii="仿宋" w:hAnsi="仿宋" w:eastAsia="仿宋" w:cs="仿宋"/>
          <w:color w:val="auto"/>
          <w:szCs w:val="21"/>
          <w:highlight w:val="none"/>
          <w:shd w:val="clear" w:color="auto" w:fill="FFFFFF"/>
        </w:rPr>
        <w:t>的</w:t>
      </w:r>
      <w:r>
        <w:rPr>
          <w:rFonts w:hint="eastAsia" w:ascii="仿宋" w:hAnsi="仿宋" w:eastAsia="仿宋" w:cs="仿宋"/>
          <w:color w:val="auto"/>
          <w:szCs w:val="21"/>
          <w:highlight w:val="none"/>
          <w:u w:val="single"/>
          <w:shd w:val="clear" w:color="auto" w:fill="FFFFFF"/>
          <w:lang w:val="en-US" w:eastAsia="zh-CN"/>
        </w:rPr>
        <w:t xml:space="preserve">  </w:t>
      </w:r>
      <w:r>
        <w:rPr>
          <w:rFonts w:hint="eastAsia" w:ascii="仿宋" w:hAnsi="仿宋" w:eastAsia="仿宋" w:cs="仿宋"/>
          <w:b/>
          <w:bCs/>
          <w:color w:val="auto"/>
          <w:szCs w:val="21"/>
          <w:highlight w:val="none"/>
          <w:u w:val="single"/>
          <w:shd w:val="clear" w:color="auto" w:fill="FFFFFF"/>
        </w:rPr>
        <w:t>/</w:t>
      </w:r>
      <w:r>
        <w:rPr>
          <w:rFonts w:hint="eastAsia" w:ascii="仿宋" w:hAnsi="仿宋" w:eastAsia="仿宋" w:cs="仿宋"/>
          <w:b/>
          <w:bCs/>
          <w:color w:val="auto"/>
          <w:szCs w:val="21"/>
          <w:highlight w:val="none"/>
          <w:u w:val="single"/>
          <w:shd w:val="clear" w:color="auto" w:fill="FFFFFF"/>
          <w:lang w:val="en-US" w:eastAsia="zh-CN"/>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（3）其他方式：</w:t>
      </w:r>
      <w:r>
        <w:rPr>
          <w:rFonts w:hint="eastAsia" w:ascii="仿宋" w:hAnsi="仿宋" w:eastAsia="仿宋" w:cs="仿宋"/>
          <w:color w:val="auto"/>
          <w:szCs w:val="21"/>
          <w:highlight w:val="none"/>
          <w:u w:val="single"/>
          <w:shd w:val="clear" w:color="auto" w:fill="FFFFFF"/>
          <w:lang w:eastAsia="zh-CN"/>
        </w:rPr>
        <w:t>履约保证金转为质保金</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15.3.2 质量保证金的扣留</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质量保证金的扣留采取以下第</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u w:val="single"/>
          <w:shd w:val="clear" w:color="auto" w:fill="FFFFFF"/>
          <w:lang w:val="en-US" w:eastAsia="zh-CN"/>
        </w:rPr>
        <w:t>3</w:t>
      </w:r>
      <w:r>
        <w:rPr>
          <w:rFonts w:hint="eastAsia" w:ascii="仿宋" w:hAnsi="仿宋" w:eastAsia="仿宋" w:cs="仿宋"/>
          <w:color w:val="auto"/>
          <w:szCs w:val="21"/>
          <w:highlight w:val="none"/>
          <w:u w:val="single"/>
          <w:shd w:val="clear" w:color="auto" w:fill="FFFFFF"/>
        </w:rPr>
        <w:t>）</w:t>
      </w:r>
      <w:r>
        <w:rPr>
          <w:rFonts w:hint="eastAsia" w:ascii="仿宋" w:hAnsi="仿宋" w:eastAsia="仿宋" w:cs="仿宋"/>
          <w:color w:val="auto"/>
          <w:szCs w:val="21"/>
          <w:highlight w:val="none"/>
          <w:shd w:val="clear" w:color="auto" w:fill="FFFFFF"/>
        </w:rPr>
        <w:t>种方式：</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（1）在支付工程进度款时逐次扣留，在此情形下，质量保证金的计算基数不包括预付款的支付、扣回以及价格调整的金额；</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（2）工程竣工结算时一次性扣留质量保证金；</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（3）其他扣留方式：</w:t>
      </w:r>
      <w:r>
        <w:rPr>
          <w:rFonts w:hint="eastAsia" w:ascii="仿宋" w:hAnsi="仿宋" w:eastAsia="仿宋" w:cs="仿宋"/>
          <w:color w:val="auto"/>
          <w:szCs w:val="21"/>
          <w:highlight w:val="none"/>
          <w:u w:val="single"/>
          <w:shd w:val="clear" w:color="auto" w:fill="FFFFFF"/>
          <w:lang w:eastAsia="zh-CN"/>
        </w:rPr>
        <w:t>履约保证金转为质保金</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关于质量保证金的补充约定：</w:t>
      </w:r>
      <w:r>
        <w:rPr>
          <w:rFonts w:hint="eastAsia" w:ascii="仿宋" w:hAnsi="仿宋" w:eastAsia="仿宋" w:cs="仿宋"/>
          <w:color w:val="auto"/>
          <w:szCs w:val="21"/>
          <w:highlight w:val="none"/>
          <w:u w:val="single"/>
          <w:shd w:val="clear" w:color="auto" w:fill="FFFFFF"/>
        </w:rPr>
        <w:t>质量保证金的</w:t>
      </w:r>
      <w:r>
        <w:rPr>
          <w:rFonts w:hint="eastAsia" w:ascii="仿宋" w:hAnsi="仿宋" w:eastAsia="仿宋" w:cs="仿宋"/>
          <w:color w:val="auto"/>
          <w:szCs w:val="21"/>
          <w:highlight w:val="none"/>
          <w:u w:val="single"/>
          <w:shd w:val="clear" w:color="auto" w:fill="FFFFFF"/>
          <w:lang w:eastAsia="zh-CN"/>
        </w:rPr>
        <w:t>退还</w:t>
      </w:r>
      <w:r>
        <w:rPr>
          <w:rFonts w:hint="eastAsia" w:ascii="仿宋" w:hAnsi="仿宋" w:eastAsia="仿宋" w:cs="仿宋"/>
          <w:color w:val="auto"/>
          <w:szCs w:val="21"/>
          <w:highlight w:val="none"/>
          <w:u w:val="single"/>
          <w:shd w:val="clear" w:color="auto" w:fill="FFFFFF"/>
        </w:rPr>
        <w:t>方式见《质量保修书》。</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15.4 保修</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15.4.1 保修责任</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工程保修期为：</w:t>
      </w:r>
      <w:r>
        <w:rPr>
          <w:rFonts w:hint="eastAsia" w:ascii="仿宋" w:hAnsi="仿宋" w:eastAsia="仿宋" w:cs="仿宋"/>
          <w:color w:val="auto"/>
          <w:szCs w:val="21"/>
          <w:highlight w:val="none"/>
          <w:u w:val="single"/>
          <w:shd w:val="clear" w:color="auto" w:fill="FFFFFF"/>
        </w:rPr>
        <w:t>见附件《质量保修书》的约定</w:t>
      </w:r>
      <w:r>
        <w:rPr>
          <w:rFonts w:hint="eastAsia" w:ascii="仿宋" w:hAnsi="仿宋" w:eastAsia="仿宋" w:cs="仿宋"/>
          <w:color w:val="auto"/>
          <w:szCs w:val="21"/>
          <w:highlight w:val="none"/>
          <w:u w:val="single"/>
          <w:shd w:val="clear" w:color="auto" w:fill="FFFFFF"/>
          <w:lang w:eastAsia="zh-CN"/>
        </w:rPr>
        <w:t>，未约定的</w:t>
      </w:r>
      <w:r>
        <w:rPr>
          <w:rFonts w:hint="eastAsia" w:ascii="仿宋" w:hAnsi="仿宋" w:eastAsia="仿宋" w:cs="仿宋"/>
          <w:color w:val="auto"/>
          <w:szCs w:val="21"/>
          <w:highlight w:val="none"/>
          <w:u w:val="single"/>
          <w:shd w:val="clear" w:color="auto" w:fill="FFFFFF"/>
        </w:rPr>
        <w:t>执行《建设工程质量管理条例》规定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15.4.3 修复通知</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shd w:val="clear" w:color="auto" w:fill="FFFFFF"/>
        </w:rPr>
        <w:t>承包人收到保修通知并到达工程现场的合理时间：</w:t>
      </w:r>
      <w:r>
        <w:rPr>
          <w:rFonts w:hint="eastAsia" w:ascii="仿宋" w:hAnsi="仿宋" w:eastAsia="仿宋" w:cs="仿宋"/>
          <w:color w:val="auto"/>
          <w:szCs w:val="21"/>
          <w:highlight w:val="none"/>
          <w:u w:val="single"/>
          <w:shd w:val="clear" w:color="auto" w:fill="FFFFFF"/>
        </w:rPr>
        <w:t>见附件《质量保修书》的约定</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16.违约</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16.1 发包人违约</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16.1.1 发包人违约的情形</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发包人违约的其他情形：</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16.1.2 发包人违约的责任</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发包人违约责任的承担方式和计算方法：</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（1）因发包人原因未能在计划开工日期前7天内下达开工通知的违约责任：</w:t>
      </w:r>
      <w:r>
        <w:rPr>
          <w:rFonts w:hint="eastAsia" w:ascii="仿宋" w:hAnsi="仿宋" w:eastAsia="仿宋" w:cs="仿宋"/>
          <w:b/>
          <w:bCs/>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（2）因发包人原因未能按合同约定支付合同价款的违约责任：</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（3）发包人违反第10.1款〔变更的范围〕第（2）项约定，自行实施被取消的工作或转由他人实施的违约责任：</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（5）因发包人违反合同约定造成暂停施工的违约责任：</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（6）发包人无正当理由没有在约定期限内发出复工指示，导致承包人无法复工的违约责任：</w:t>
      </w:r>
      <w:r>
        <w:rPr>
          <w:rFonts w:hint="eastAsia" w:ascii="仿宋" w:hAnsi="仿宋" w:eastAsia="仿宋" w:cs="仿宋"/>
          <w:color w:val="auto"/>
          <w:szCs w:val="21"/>
          <w:highlight w:val="none"/>
          <w:u w:val="single"/>
          <w:shd w:val="clear" w:color="auto" w:fill="FFFFFF"/>
        </w:rPr>
        <w:t xml:space="preserve">/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7）如发包人不能按合同约定付款周期支付相应款项时，承包人无条件同意发包人延期支付，延期支付期间，发包人按照中国人民银行颁布的同期贷款基准利率支付对应工程款利息。承包人承诺不因工程款支付问题堵门、信访或诉讼。</w:t>
      </w:r>
    </w:p>
    <w:p>
      <w:pPr>
        <w:adjustRightInd w:val="0"/>
        <w:snapToGrid w:val="0"/>
        <w:spacing w:line="360" w:lineRule="auto"/>
        <w:ind w:firstLine="480"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color w:val="auto"/>
          <w:szCs w:val="21"/>
          <w:highlight w:val="none"/>
          <w:shd w:val="clear" w:color="auto" w:fill="FFFFFF"/>
        </w:rPr>
        <w:t>（8）其他：</w:t>
      </w:r>
      <w:r>
        <w:rPr>
          <w:rFonts w:hint="eastAsia" w:ascii="仿宋" w:hAnsi="仿宋" w:eastAsia="仿宋" w:cs="仿宋"/>
          <w:color w:val="auto"/>
          <w:szCs w:val="21"/>
          <w:highlight w:val="none"/>
          <w:u w:val="single"/>
          <w:shd w:val="clear" w:color="auto" w:fill="FFFFFF"/>
        </w:rPr>
        <w:t xml:space="preserve"> 发包人有权根据资金状况将约定的第二个和第三个付款节点提前，承包人应无条件同意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16.2 承包人违约</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16.2.1 承包人违约的情形</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承包人违约的其他情形：</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（1）承包人违反合同约定进行转包或违法分包的。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（2）承包人违反合同约定采购和使用不合格的材料和工程设备的。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（3）因承包人原因导致工程质量不符合合同要求的。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（4）承包人违反第8.9款[材料与设备专用要求]的约定，未经批准，私自将已按照合同约定进入施工现场的材料或设备撤离施工现场的。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（5）承包人未能按施工进度计划及时完成合同约定的工作，造成工期延误的。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（6）承包人在缺陷责任期及保修期内，未能在合理期限对工程缺陷进行修复，或拒绝按发包人要求进行修复的。</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（7）承包人明确表示或者以其行为表明不履行合同主要义务的。</w:t>
      </w:r>
    </w:p>
    <w:p>
      <w:pPr>
        <w:adjustRightInd w:val="0"/>
        <w:snapToGrid w:val="0"/>
        <w:spacing w:line="360" w:lineRule="auto"/>
        <w:ind w:firstLine="480" w:firstLineChars="200"/>
        <w:jc w:val="left"/>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（8）承包人未能按照合同约定履行其他义务的。</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szCs w:val="21"/>
          <w:highlight w:val="none"/>
          <w:u w:val="single"/>
          <w:shd w:val="clear" w:color="auto" w:fill="FFFFFF"/>
        </w:rPr>
        <w:t>（9）私自停工超过7天的。</w:t>
      </w:r>
    </w:p>
    <w:p>
      <w:pPr>
        <w:adjustRightInd w:val="0"/>
        <w:snapToGrid w:val="0"/>
        <w:spacing w:line="360" w:lineRule="auto"/>
        <w:ind w:firstLine="480" w:firstLineChars="200"/>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16.2.2承包人违约的责任</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承包人违约责任的承担方式和计算方法：</w:t>
      </w:r>
      <w:r>
        <w:rPr>
          <w:rFonts w:hint="eastAsia" w:ascii="仿宋" w:hAnsi="仿宋" w:eastAsia="仿宋" w:cs="仿宋"/>
          <w:color w:val="auto"/>
          <w:kern w:val="0"/>
          <w:szCs w:val="21"/>
          <w:highlight w:val="none"/>
          <w:u w:val="single"/>
          <w:shd w:val="clear" w:color="auto" w:fill="FFFFFF"/>
        </w:rPr>
        <w:t>监理人可向承包人发出整改通知，要求其在指定的期限内改正。承包人应承担其违约所引起的费用增加和工期延误，并赔偿由此给发包人及业主单位造成的损失</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16.2.3 因承包人违约解除合同</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kern w:val="0"/>
          <w:szCs w:val="21"/>
          <w:highlight w:val="none"/>
          <w:shd w:val="clear" w:color="auto" w:fill="FFFFFF"/>
        </w:rPr>
        <w:t>关于承包人违约解除合同的特别约定：</w:t>
      </w:r>
      <w:r>
        <w:rPr>
          <w:rFonts w:hint="eastAsia" w:ascii="仿宋" w:hAnsi="仿宋" w:eastAsia="仿宋" w:cs="仿宋"/>
          <w:color w:val="auto"/>
          <w:kern w:val="0"/>
          <w:szCs w:val="21"/>
          <w:highlight w:val="none"/>
          <w:u w:val="single"/>
          <w:shd w:val="clear" w:color="auto" w:fill="FFFFFF"/>
        </w:rPr>
        <w:t>如有以下情况之一发生，发包人有权书面通知解除合同，自通知送达承包人或现场项目经理部后生效：⑴承包人在施工过程中擅自停工、窝工或因其他承包人之原因致使合同约定的工期根本无法达到的；⑵承包人在施工过程中的主要分部施工质量明显无法达到合格要求，经监理工程师要求整改却无正当理由拒绝整改的；⑶承包人因其他法律纠纷或行政违法被查封本工程专用账户或有关司法部门要求发包人停止向其支付工程款或协助工程款的，致使合同无法继续履行的；⑷承包人擅自更换本工程项目总负责人、项目经理及主要施工管理人员，经发包人提出异议后15日内不纠正的；⑸承包人转包及违法分包，或由其他实际施工人挂靠其名义承包本工程的；⑹承包人因欠缴税款致使工程所在地税务主管部门拒绝为其提供税务发票的；</w:t>
      </w:r>
    </w:p>
    <w:p>
      <w:pPr>
        <w:adjustRightInd w:val="0"/>
        <w:snapToGrid w:val="0"/>
        <w:spacing w:line="360" w:lineRule="auto"/>
        <w:ind w:firstLine="480" w:firstLineChars="200"/>
        <w:jc w:val="left"/>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kern w:val="0"/>
          <w:szCs w:val="21"/>
          <w:highlight w:val="none"/>
          <w:u w:val="single"/>
          <w:shd w:val="clear" w:color="auto" w:fill="FFFFFF"/>
        </w:rPr>
        <w:t>发包人因前述原因解除本合同时，承包人须按合同价款的20%支付违约金，如发包人因此遭受的损失大于前述违约金，则承包人须另行赔偿差额部分。除此之外，本合同如因前述16.2.1第⑺种情形被解除，承包人并须退还该违约行为所涉及到的发包人已付全部工程款。</w:t>
      </w:r>
    </w:p>
    <w:p>
      <w:pPr>
        <w:adjustRightInd w:val="0"/>
        <w:snapToGrid w:val="0"/>
        <w:spacing w:line="360" w:lineRule="auto"/>
        <w:ind w:firstLine="480" w:firstLineChars="200"/>
        <w:rPr>
          <w:rFonts w:hint="eastAsia" w:ascii="仿宋" w:hAnsi="仿宋" w:eastAsia="仿宋" w:cs="仿宋"/>
          <w:color w:val="auto"/>
          <w:szCs w:val="21"/>
          <w:highlight w:val="none"/>
          <w:u w:val="single"/>
          <w:shd w:val="clear" w:color="auto" w:fill="FFFFFF"/>
        </w:rPr>
      </w:pPr>
      <w:r>
        <w:rPr>
          <w:rFonts w:hint="eastAsia" w:ascii="仿宋" w:hAnsi="仿宋" w:eastAsia="仿宋" w:cs="仿宋"/>
          <w:color w:val="auto"/>
          <w:kern w:val="0"/>
          <w:szCs w:val="21"/>
          <w:highlight w:val="none"/>
          <w:u w:val="single"/>
          <w:shd w:val="clear" w:color="auto" w:fill="FFFFFF"/>
        </w:rPr>
        <w:t>有关违约金的支付并不能免除承包人应完成工程的责任或合同项下的其他任何责任，除了根据上述支付的违约金外，承包人未能根据合同协议的工程进度表及编制的其他工作计划所规定的日期之前，完成其工作事项，承包人应对给发包人造成的任何损失或损害负责。</w:t>
      </w:r>
    </w:p>
    <w:p>
      <w:pPr>
        <w:adjustRightInd w:val="0"/>
        <w:snapToGrid w:val="0"/>
        <w:spacing w:line="360" w:lineRule="auto"/>
        <w:ind w:firstLine="480" w:firstLineChars="200"/>
        <w:jc w:val="left"/>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szCs w:val="21"/>
          <w:highlight w:val="none"/>
          <w:shd w:val="clear" w:color="auto" w:fill="FFFFFF"/>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shd w:val="clear" w:color="auto" w:fill="FFFFFF"/>
        </w:rPr>
        <w:t>由承包人承担</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17.不可抗力</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17.1 不可抗力的确认</w:t>
      </w:r>
    </w:p>
    <w:p>
      <w:pPr>
        <w:adjustRightInd w:val="0"/>
        <w:snapToGrid w:val="0"/>
        <w:spacing w:line="360" w:lineRule="auto"/>
        <w:ind w:firstLine="480" w:firstLineChars="200"/>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szCs w:val="21"/>
          <w:highlight w:val="none"/>
          <w:shd w:val="clear" w:color="auto" w:fill="FFFFFF"/>
        </w:rPr>
        <w:t>除通用合同条款约定的不可抗力事件之外，视为不可抗力的其他情形：</w:t>
      </w:r>
      <w:r>
        <w:rPr>
          <w:rFonts w:hint="eastAsia" w:ascii="仿宋" w:hAnsi="仿宋" w:eastAsia="仿宋" w:cs="仿宋"/>
          <w:color w:val="auto"/>
          <w:kern w:val="0"/>
          <w:szCs w:val="21"/>
          <w:highlight w:val="none"/>
          <w:u w:val="single"/>
          <w:shd w:val="clear" w:color="auto" w:fill="FFFFFF"/>
        </w:rPr>
        <w:t>/</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17.4因不可抗力解除合同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合同解除后，发包人应在商定或确定发包人应支付款项后</w:t>
      </w:r>
      <w:r>
        <w:rPr>
          <w:rFonts w:hint="eastAsia" w:ascii="仿宋" w:hAnsi="仿宋" w:eastAsia="仿宋" w:cs="仿宋"/>
          <w:color w:val="auto"/>
          <w:szCs w:val="21"/>
          <w:highlight w:val="none"/>
          <w:u w:val="single"/>
          <w:shd w:val="clear" w:color="auto" w:fill="FFFFFF"/>
        </w:rPr>
        <w:t xml:space="preserve"> 28 </w:t>
      </w:r>
      <w:r>
        <w:rPr>
          <w:rFonts w:hint="eastAsia" w:ascii="仿宋" w:hAnsi="仿宋" w:eastAsia="仿宋" w:cs="仿宋"/>
          <w:color w:val="auto"/>
          <w:szCs w:val="21"/>
          <w:highlight w:val="none"/>
          <w:shd w:val="clear" w:color="auto" w:fill="FFFFFF"/>
        </w:rPr>
        <w:t>天内完成款项支付。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18.保险</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18.1 工程保险</w:t>
      </w:r>
    </w:p>
    <w:p>
      <w:pPr>
        <w:adjustRightInd w:val="0"/>
        <w:snapToGrid w:val="0"/>
        <w:spacing w:line="360" w:lineRule="auto"/>
        <w:ind w:firstLine="480" w:firstLineChars="200"/>
        <w:textAlignment w:val="baseline"/>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关于工程保险的特别约定：</w:t>
      </w:r>
    </w:p>
    <w:p>
      <w:pPr>
        <w:adjustRightInd w:val="0"/>
        <w:snapToGrid w:val="0"/>
        <w:spacing w:line="360" w:lineRule="auto"/>
        <w:ind w:firstLine="480" w:firstLineChars="200"/>
        <w:textAlignment w:val="baseline"/>
        <w:rPr>
          <w:rFonts w:hint="eastAsia" w:ascii="仿宋" w:hAnsi="仿宋" w:eastAsia="仿宋" w:cs="仿宋"/>
          <w:color w:val="auto"/>
          <w:kern w:val="0"/>
          <w:szCs w:val="21"/>
          <w:highlight w:val="none"/>
          <w:u w:val="single"/>
          <w:shd w:val="clear" w:color="auto" w:fill="FFFFFF"/>
        </w:rPr>
      </w:pPr>
      <w:r>
        <w:rPr>
          <w:rFonts w:hint="eastAsia" w:ascii="仿宋" w:hAnsi="仿宋" w:eastAsia="仿宋" w:cs="仿宋"/>
          <w:color w:val="auto"/>
          <w:kern w:val="0"/>
          <w:szCs w:val="21"/>
          <w:highlight w:val="none"/>
          <w:u w:val="single"/>
          <w:shd w:val="clear" w:color="auto" w:fill="FFFFFF"/>
        </w:rPr>
        <w:t>1.承包人应以发包人和承包人的共同名义向双方同意的保险人投保建筑工程一切险、安装工程一切险，保险费由承包人全部承担并支付，其具体的投保内容、保险金额、保险费率、保险期限等有关内容按国家及河南省、郑州市相关规定执行。 2.承包人应依照有关法律规定参加工伤保险，为其履行合同所雇佣的全部人员，缴纳工伤保险。3.承包人应在整个施工期间为其现场机构雇佣的全部人员，投保人身意外伤害险，缴纳保险费。4.在缺陷责任期终止证书颁发前，承包人应以承包人和发包人的共同名义投保第三者责任险，保险费由承包人全部承担并支付，其保险费率、保险金额等有关内容按国家规定执行。5.由于负有本合同约定投保义务的一方当事人未按合同约定办理某项保险，导致受益人未能得到保险人的赔偿，原应从该项保险得到的保险金应由本合同约定负有投保义务的一方当事人支付。</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18.3 其他保险</w:t>
      </w:r>
    </w:p>
    <w:p>
      <w:pPr>
        <w:adjustRightInd w:val="0"/>
        <w:snapToGrid w:val="0"/>
        <w:spacing w:line="360" w:lineRule="auto"/>
        <w:ind w:firstLine="480" w:firstLineChars="200"/>
        <w:textAlignment w:val="baseline"/>
        <w:rPr>
          <w:rFonts w:hint="eastAsia" w:ascii="仿宋" w:hAnsi="仿宋" w:eastAsia="仿宋" w:cs="仿宋"/>
          <w:color w:val="auto"/>
          <w:kern w:val="0"/>
          <w:szCs w:val="21"/>
          <w:highlight w:val="none"/>
          <w:shd w:val="clear" w:color="auto" w:fill="FFFFFF"/>
        </w:rPr>
      </w:pPr>
      <w:r>
        <w:rPr>
          <w:rFonts w:hint="eastAsia" w:ascii="仿宋" w:hAnsi="仿宋" w:eastAsia="仿宋" w:cs="仿宋"/>
          <w:color w:val="auto"/>
          <w:kern w:val="0"/>
          <w:szCs w:val="21"/>
          <w:highlight w:val="none"/>
          <w:shd w:val="clear" w:color="auto" w:fill="FFFFFF"/>
        </w:rPr>
        <w:t>关于其他保险的约定：</w:t>
      </w:r>
      <w:r>
        <w:rPr>
          <w:rFonts w:hint="eastAsia" w:ascii="仿宋" w:hAnsi="仿宋" w:eastAsia="仿宋" w:cs="仿宋"/>
          <w:color w:val="auto"/>
          <w:kern w:val="0"/>
          <w:szCs w:val="21"/>
          <w:highlight w:val="none"/>
          <w:u w:val="single"/>
          <w:shd w:val="clear" w:color="auto" w:fill="FFFFFF"/>
        </w:rPr>
        <w:t>承包人应为其施工现场的全部人员办理意外伤害保险并支付保险费，包括其员工及为履行合同聘请的第三方的人员</w:t>
      </w:r>
      <w:r>
        <w:rPr>
          <w:rFonts w:hint="eastAsia" w:ascii="仿宋" w:hAnsi="仿宋" w:eastAsia="仿宋" w:cs="仿宋"/>
          <w:color w:val="auto"/>
          <w:kern w:val="0"/>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承包人是否应为其施工设备等办理财产保险：</w:t>
      </w:r>
      <w:r>
        <w:rPr>
          <w:rFonts w:hint="eastAsia" w:ascii="仿宋" w:hAnsi="仿宋" w:eastAsia="仿宋" w:cs="仿宋"/>
          <w:color w:val="auto"/>
          <w:kern w:val="0"/>
          <w:szCs w:val="21"/>
          <w:highlight w:val="none"/>
          <w:u w:val="single"/>
          <w:shd w:val="clear" w:color="auto" w:fill="FFFFFF"/>
        </w:rPr>
        <w:t>应当办理</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18.7 通知义务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关于变更保险合同时的通知义务的约定：</w:t>
      </w:r>
      <w:r>
        <w:rPr>
          <w:rFonts w:hint="eastAsia" w:ascii="仿宋" w:hAnsi="仿宋" w:eastAsia="仿宋" w:cs="仿宋"/>
          <w:color w:val="auto"/>
          <w:szCs w:val="21"/>
          <w:highlight w:val="none"/>
          <w:u w:val="single"/>
          <w:shd w:val="clear" w:color="auto" w:fill="FFFFFF"/>
        </w:rPr>
        <w:t>执行通用条款</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20.争议解决</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20.3 争议评审</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合同当事人是否同意将工程争议提交争议评审小组决定：</w:t>
      </w:r>
      <w:r>
        <w:rPr>
          <w:rFonts w:hint="eastAsia" w:ascii="仿宋" w:hAnsi="仿宋" w:eastAsia="仿宋" w:cs="仿宋"/>
          <w:color w:val="auto"/>
          <w:szCs w:val="21"/>
          <w:highlight w:val="none"/>
          <w:u w:val="single"/>
          <w:shd w:val="clear" w:color="auto" w:fill="FFFFFF"/>
        </w:rPr>
        <w:t>执行通用条款20.3.2 。</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20.3.1 争议评审小组的确定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争议评审小组成员的确定：</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选定争议评审员的期限：</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争议评审小组成员的报酬承担方式：</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其他事项的约定：</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20.4仲裁或诉讼</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因合同及合同有关事项发生的争议，按下列第</w:t>
      </w:r>
      <w:r>
        <w:rPr>
          <w:rFonts w:hint="eastAsia" w:ascii="仿宋" w:hAnsi="仿宋" w:eastAsia="仿宋" w:cs="仿宋"/>
          <w:color w:val="auto"/>
          <w:szCs w:val="21"/>
          <w:highlight w:val="none"/>
          <w:u w:val="single"/>
          <w:shd w:val="clear" w:color="auto" w:fill="FFFFFF"/>
        </w:rPr>
        <w:t>（2）</w:t>
      </w:r>
      <w:r>
        <w:rPr>
          <w:rFonts w:hint="eastAsia" w:ascii="仿宋" w:hAnsi="仿宋" w:eastAsia="仿宋" w:cs="仿宋"/>
          <w:color w:val="auto"/>
          <w:szCs w:val="21"/>
          <w:highlight w:val="none"/>
          <w:shd w:val="clear" w:color="auto" w:fill="FFFFFF"/>
        </w:rPr>
        <w:t>种方式解决：</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（1）向</w:t>
      </w:r>
      <w:r>
        <w:rPr>
          <w:rFonts w:hint="eastAsia" w:ascii="仿宋" w:hAnsi="仿宋" w:eastAsia="仿宋" w:cs="仿宋"/>
          <w:color w:val="auto"/>
          <w:szCs w:val="21"/>
          <w:highlight w:val="none"/>
          <w:u w:val="single"/>
          <w:shd w:val="clear" w:color="auto" w:fill="FFFFFF"/>
        </w:rPr>
        <w:t xml:space="preserve">   /    </w:t>
      </w:r>
      <w:r>
        <w:rPr>
          <w:rFonts w:hint="eastAsia" w:ascii="仿宋" w:hAnsi="仿宋" w:eastAsia="仿宋" w:cs="仿宋"/>
          <w:color w:val="auto"/>
          <w:szCs w:val="21"/>
          <w:highlight w:val="none"/>
          <w:shd w:val="clear" w:color="auto" w:fill="FFFFFF"/>
        </w:rPr>
        <w:t>仲裁委员会申请仲裁；</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（2）向</w:t>
      </w:r>
      <w:r>
        <w:rPr>
          <w:rFonts w:hint="eastAsia" w:ascii="仿宋" w:hAnsi="仿宋" w:eastAsia="仿宋" w:cs="仿宋"/>
          <w:color w:val="auto"/>
          <w:kern w:val="0"/>
          <w:szCs w:val="21"/>
          <w:highlight w:val="none"/>
          <w:u w:val="single"/>
          <w:shd w:val="clear" w:color="auto" w:fill="FFFFFF"/>
        </w:rPr>
        <w:t>项目所在地</w:t>
      </w:r>
      <w:r>
        <w:rPr>
          <w:rFonts w:hint="eastAsia" w:ascii="仿宋" w:hAnsi="仿宋" w:eastAsia="仿宋" w:cs="仿宋"/>
          <w:color w:val="auto"/>
          <w:szCs w:val="21"/>
          <w:highlight w:val="none"/>
          <w:shd w:val="clear" w:color="auto" w:fill="FFFFFF"/>
        </w:rPr>
        <w:t>人民法院起诉。</w:t>
      </w:r>
    </w:p>
    <w:p>
      <w:pPr>
        <w:adjustRightInd w:val="0"/>
        <w:snapToGrid w:val="0"/>
        <w:spacing w:line="360" w:lineRule="auto"/>
        <w:ind w:firstLine="482" w:firstLineChars="200"/>
        <w:rPr>
          <w:rFonts w:hint="eastAsia" w:ascii="仿宋" w:hAnsi="仿宋" w:eastAsia="仿宋" w:cs="仿宋"/>
          <w:b/>
          <w:bCs/>
          <w:color w:val="auto"/>
          <w:szCs w:val="21"/>
          <w:highlight w:val="none"/>
          <w:shd w:val="clear" w:color="auto" w:fill="FFFFFF"/>
        </w:rPr>
      </w:pPr>
      <w:r>
        <w:rPr>
          <w:rFonts w:hint="eastAsia" w:ascii="仿宋" w:hAnsi="仿宋" w:eastAsia="仿宋" w:cs="仿宋"/>
          <w:b/>
          <w:bCs/>
          <w:color w:val="auto"/>
          <w:szCs w:val="21"/>
          <w:highlight w:val="none"/>
          <w:shd w:val="clear" w:color="auto" w:fill="FFFFFF"/>
        </w:rPr>
        <w:t>21.补充条款</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bookmarkStart w:id="35" w:name="_Toc469037015"/>
      <w:r>
        <w:rPr>
          <w:rFonts w:hint="eastAsia" w:ascii="仿宋" w:hAnsi="仿宋" w:eastAsia="仿宋" w:cs="仿宋"/>
          <w:color w:val="auto"/>
          <w:szCs w:val="21"/>
          <w:highlight w:val="none"/>
          <w:shd w:val="clear" w:color="auto" w:fill="FFFFFF"/>
        </w:rPr>
        <w:t>21.1.承包人必须服从现场监理、发包人管理，监理及发包人所下发的通知、各项规章制度、监理例会纪要等文件承包人均应严格执行。</w:t>
      </w:r>
      <w:bookmarkEnd w:id="35"/>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 承包人在工程施工期间不得拖欠工人工资。如因承包人挪用已领取的工程款，导致拖欠农民工工资，给发包人造成不利影响的，承包人应按合同价款的5%赔偿发包人损失，并承担相应的责任。招标人按合同约定支付工程款项后，发生一次因拖欠工人工资等引起的纠纷，农民工聚众闹事,造成工人堵门（包括政府、建设单位、监理单位）、堵路、上访、拉条幅、媒体曝光、自残威胁等给发包人造成不利影响的，发包人视情节严重程度结合现场施工管理制度有权要求承包人支付不少于5万元的违约金。</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21.3本工程竣工后严禁“三拖”（拖竣工验收、拖竣工资料、拖工程移交）。否则发包人有权依据监理人出具的鉴定结论书，自行组织有关部门验收，并提出修改意见。承包人必须严格按要求整改，由此发生的整改费用从发包人应付的工程款中扣除，不足部分发包人有权向承包人追偿。当验收通过后具备交付使用条件时，承包人不得以任何借口拒绝移交工程，否则，发包人有权强行使用，由此发生的一切后果，由承包人负责。</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21.4承包人应保证在特殊季节（秋收种麦）做到连续施工,否则停工一天须支付违约金壹万元整，造成本时间段计划工期延误每延误一天支付违约金壹万元，造成总工期延误仍按本合同专用条款7.5.2执行。</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21.5承包人应积极配合发包人办理本工程的报监、竣工备案、消防部门验收等相关手续。除政府明文规定由发包人承担的费用外,手续办理过程中发生的其他费用由承包人承担。因配合不力给发包人造成的损失由承包人承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21.6承包人承诺在因征地拆迁、办理相关手续等原因造成的工期顺延的情况下，不增加相关费用。</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21.7施工中水电费由承包人承担，计量标准按水电收费部门的实际收费（包括损耗及公摊）。发包人提供电驳接点，施工和生活用水由承包人负责解决，费用自理，费用已包含在本合同价中。</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21.8各项为通过验收、备案发生的所有检测费用中，分包工程发生的检测费用由分包单位承担，其他检测费用（无论该费用规定由发包人还是承包人支付，投标人均应在投标报价中充分考虑，不再另行计取，但检测单位须由发包人认可。</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21.9承包人在签订本合同前已清楚并考虑工地周围环境及周边村民关系影响、交通道路、现场地质资料、周围地下管网、现场条件、承包范围、施工图纸，并已考虑施工技术措施、安全维护、文明工地施工措施等因素已包含在合同价款中，不再额外提出增加费用要求。</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21.10承包人自行办理政府规定相关施工场地的交通、环卫和环保等手续，自行解决发生民扰、行政执法部门处罚事件，并承担相应的费用。如因承包人没有处理好上述事件给发包人带来的损失和影响，发包人有权视情况对承包人进行索赔。</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21.11因施工形成的施工和生活垃圾承包人应设置专门放置处，并定期清理外运，此部分费用由承包人承担。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21.12施工作业和生活区现场安全文明不低于河南省安全文明工地要求的标准。项目实施期间，按照郑州市规范性的开展车辆冲洗、道路清洁、防尘网覆盖等工作，对于承包人违规作业造成的罚款，承包人自理。因类似情形造成的对于建设单位的处罚，或承担连带罚款，建设单位对于承包人给予双倍处罚。政府性要求的暂停施工引起的停工窝工承包人不得因此类事情发生向发包人要求支付窝工等损失费，但是工期可以顺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21.13如果承包人的工程进度被同一现场范围内施工工程的其他方延误，则发包人不接受对任何损失或费用的索赔和工期延误要求。</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21.14办理夜间施工手续的费用由承包人承担。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21.15材料二次搬运费、夜间施工增加费、冬雨季施工增加费、赶工措施费等承包方均已在合同价款中计取，实际发生时均不再另行计取</w:t>
      </w:r>
      <w:r>
        <w:rPr>
          <w:rFonts w:hint="eastAsia" w:ascii="仿宋" w:hAnsi="仿宋" w:eastAsia="仿宋" w:cs="仿宋"/>
          <w:color w:val="auto"/>
          <w:szCs w:val="21"/>
          <w:highlight w:val="none"/>
          <w:shd w:val="clear" w:color="auto" w:fill="FFFFFF"/>
          <w:lang w:eastAsia="zh-CN"/>
        </w:rPr>
        <w:t>，如无发生在竣工决算时扣除</w:t>
      </w:r>
      <w:r>
        <w:rPr>
          <w:rFonts w:hint="eastAsia" w:ascii="仿宋" w:hAnsi="仿宋" w:eastAsia="仿宋" w:cs="仿宋"/>
          <w:color w:val="auto"/>
          <w:szCs w:val="21"/>
          <w:highlight w:val="none"/>
          <w:shd w:val="clear" w:color="auto" w:fill="FFFFFF"/>
        </w:rPr>
        <w:t>。</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21.16</w:t>
      </w:r>
      <w:r>
        <w:rPr>
          <w:rFonts w:hint="eastAsia" w:ascii="仿宋" w:hAnsi="仿宋" w:eastAsia="仿宋" w:cs="仿宋"/>
          <w:b/>
          <w:bCs/>
          <w:color w:val="auto"/>
          <w:szCs w:val="21"/>
          <w:highlight w:val="none"/>
          <w:shd w:val="clear" w:color="auto" w:fill="FFFFFF"/>
        </w:rPr>
        <w:t>专项施工方案评审费、论证费用由承包人承担。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21.17项目实施过程中材料、设备、新工艺等内容需要考察，费用由承包人承担。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21.18施工总平面布置图必须经监理、发包人批准后合理布置。</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21.19承包人在开工前应向监理和发包人提供有关人员上岗证、有关设备合格证年审证等证件。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21.20如果投标工程量清单中综合单价有明显错误，发包人有权平衡不合理报价。若承包人以任何理由不实施应由承包人实施的工作内容，发包人将按照本项目中招标控制价编制的要求扣除对应的合同价款（即：量价足额取定）。</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21.21承包人应负责所承担单位工程全部竣工资料（含该单位工程指定分包人和其他施工单位竣工资料）的整理、装订、归档工作，负责办理并通过竣工验收备案，发包人予以配合，费用含在合同总价内。</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21.22承包人若发生质量事故、安全事故、火灾，发包人将视情节严重程度结合现场安全文明施工管理制度中罚款金额的标志要求承包人支付相应违约金，承包人并须赔偿给发包人造成的直接和间接经济损失。</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21.27承包人施工过程中应严格按照郑州市及郑东新区有关安全文明施工，工地扬尘要求的相关内容组织施工，制定施工现场扬尘治理管理制度，符合发包人施工现场的扬尘防治要求，做好扬尘污染防治措施的落实，达到施工工地扬尘治理8个100%标准，要对道路全面控尘，确保道路湿度，无扬尘现象。其他区域进行简易绿化、硬化和覆盖，并进一步强化渣土车治理，杜绝沿途遗撒现象。如未达到要求则自愿接受主管部门和发包人相关规定的处罚，但并不因此免责，必须整改到位。</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21.28施工现场的建筑垃圾、生活垃圾承包人应自行运出学校校园园区。相关费用承包人自理。</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21.29 发包人审计处委托工程咨询公司对施工过程进行跟踪审计，主要涉及隐蔽工程的验收、主要材料及设备质量确认审查、工程进度款支付、设计变更和施工签证、索赔等内容，承包人在施工管理中应配合执行学校</w:t>
      </w:r>
      <w:r>
        <w:rPr>
          <w:rFonts w:hint="eastAsia" w:ascii="仿宋" w:hAnsi="仿宋" w:eastAsia="仿宋" w:cs="仿宋"/>
          <w:color w:val="auto"/>
          <w:szCs w:val="21"/>
          <w:highlight w:val="none"/>
          <w:shd w:val="clear" w:color="auto" w:fill="FFFFFF"/>
          <w:lang w:eastAsia="zh-CN"/>
        </w:rPr>
        <w:t>相关</w:t>
      </w:r>
      <w:r>
        <w:rPr>
          <w:rFonts w:hint="eastAsia" w:ascii="仿宋" w:hAnsi="仿宋" w:eastAsia="仿宋" w:cs="仿宋"/>
          <w:color w:val="auto"/>
          <w:szCs w:val="21"/>
          <w:highlight w:val="none"/>
          <w:shd w:val="clear" w:color="auto" w:fill="FFFFFF"/>
        </w:rPr>
        <w:t>文件。</w:t>
      </w:r>
    </w:p>
    <w:p>
      <w:pPr>
        <w:adjustRightInd w:val="0"/>
        <w:snapToGrid w:val="0"/>
        <w:spacing w:line="360" w:lineRule="auto"/>
        <w:ind w:firstLine="480" w:firstLineChars="200"/>
        <w:rPr>
          <w:rFonts w:hint="eastAsia" w:ascii="仿宋" w:hAnsi="仿宋" w:eastAsia="仿宋" w:cs="仿宋"/>
          <w:color w:val="auto"/>
          <w:szCs w:val="21"/>
          <w:highlight w:val="none"/>
          <w:shd w:val="clear" w:color="auto" w:fill="FFFFFF"/>
        </w:rPr>
      </w:pPr>
      <w:r>
        <w:rPr>
          <w:rFonts w:hint="eastAsia" w:ascii="仿宋" w:hAnsi="仿宋" w:eastAsia="仿宋" w:cs="仿宋"/>
          <w:color w:val="auto"/>
          <w:szCs w:val="21"/>
          <w:highlight w:val="none"/>
          <w:shd w:val="clear" w:color="auto" w:fill="FFFFFF"/>
        </w:rPr>
        <w:t>21.30 招、投标文件做为本合同的一部分，合同中未明确的以招、投标文件为准。</w:t>
      </w:r>
    </w:p>
    <w:p>
      <w:pPr>
        <w:spacing w:line="360" w:lineRule="auto"/>
        <w:rPr>
          <w:rFonts w:hint="eastAsia" w:ascii="仿宋_GB2312" w:hAnsi="仿宋_GB2312" w:eastAsia="仿宋_GB2312" w:cs="仿宋_GB2312"/>
          <w:strike/>
          <w:color w:val="auto"/>
          <w:highlight w:val="none"/>
          <w:u w:val="single"/>
        </w:rPr>
      </w:pPr>
      <w:r>
        <w:rPr>
          <w:rFonts w:hint="eastAsia" w:ascii="仿宋" w:hAnsi="仿宋" w:eastAsia="仿宋" w:cs="仿宋"/>
          <w:color w:val="auto"/>
          <w:szCs w:val="21"/>
          <w:highlight w:val="none"/>
          <w:shd w:val="clear" w:color="auto" w:fill="FFFFFF"/>
        </w:rPr>
        <w:t>本合同未尽事宜，双方另行签订补充协议，补充协议是本合同的组成部分。</w:t>
      </w:r>
    </w:p>
    <w:p>
      <w:pPr>
        <w:spacing w:line="360" w:lineRule="auto"/>
        <w:rPr>
          <w:rFonts w:hint="eastAsia" w:ascii="仿宋_GB2312" w:hAnsi="仿宋_GB2312" w:eastAsia="仿宋_GB2312" w:cs="仿宋_GB2312"/>
          <w:strike/>
          <w:color w:val="auto"/>
          <w:highlight w:val="none"/>
        </w:rPr>
      </w:pPr>
    </w:p>
    <w:p>
      <w:pPr>
        <w:spacing w:line="360" w:lineRule="auto"/>
        <w:rPr>
          <w:rFonts w:hint="eastAsia" w:ascii="仿宋_GB2312" w:hAnsi="仿宋_GB2312" w:eastAsia="仿宋_GB2312" w:cs="仿宋_GB2312"/>
          <w:strike/>
          <w:color w:val="auto"/>
          <w:highlight w:val="none"/>
        </w:rPr>
      </w:pPr>
    </w:p>
    <w:p>
      <w:pPr>
        <w:pStyle w:val="37"/>
        <w:spacing w:line="360" w:lineRule="auto"/>
        <w:jc w:val="center"/>
        <w:rPr>
          <w:rFonts w:hint="eastAsia" w:ascii="仿宋_GB2312" w:hAnsi="仿宋_GB2312" w:eastAsia="仿宋_GB2312" w:cs="仿宋_GB2312"/>
          <w:b/>
          <w:color w:val="auto"/>
          <w:w w:val="99"/>
          <w:highlight w:val="none"/>
        </w:rPr>
      </w:pPr>
      <w:r>
        <w:rPr>
          <w:rFonts w:hint="eastAsia" w:ascii="仿宋_GB2312" w:hAnsi="仿宋_GB2312" w:eastAsia="仿宋_GB2312" w:cs="仿宋_GB2312"/>
          <w:b/>
          <w:color w:val="auto"/>
          <w:w w:val="99"/>
          <w:highlight w:val="none"/>
        </w:rPr>
        <w:t>附     件</w:t>
      </w:r>
    </w:p>
    <w:p>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附件1：工程质量保修书</w:t>
      </w:r>
    </w:p>
    <w:p>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附件2：主要建设工程文件目录</w:t>
      </w:r>
    </w:p>
    <w:p>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附件3：承包人主要施工管理人员表</w:t>
      </w:r>
    </w:p>
    <w:p>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附件4：建设工程廉政责任书</w:t>
      </w:r>
    </w:p>
    <w:p>
      <w:pPr>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附件5：优惠承诺</w:t>
      </w:r>
    </w:p>
    <w:p>
      <w:pPr>
        <w:spacing w:line="360" w:lineRule="auto"/>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附件6：图纸答疑</w:t>
      </w:r>
      <w:r>
        <w:rPr>
          <w:rFonts w:hint="eastAsia" w:ascii="仿宋_GB2312" w:hAnsi="仿宋_GB2312" w:eastAsia="仿宋_GB2312" w:cs="仿宋_GB2312"/>
          <w:color w:val="auto"/>
          <w:highlight w:val="none"/>
          <w:lang w:eastAsia="zh-CN"/>
        </w:rPr>
        <w:t>（如有）</w:t>
      </w:r>
    </w:p>
    <w:p>
      <w:pPr>
        <w:spacing w:line="360" w:lineRule="auto"/>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2"/>
        <w:ind w:left="480" w:firstLine="480"/>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pStyle w:val="5"/>
        <w:rPr>
          <w:rFonts w:hint="eastAsia" w:ascii="仿宋_GB2312" w:hAnsi="仿宋_GB2312" w:eastAsia="仿宋_GB2312" w:cs="仿宋_GB2312"/>
          <w:color w:val="auto"/>
          <w:highlight w:val="none"/>
        </w:rPr>
      </w:pPr>
    </w:p>
    <w:p>
      <w:pPr>
        <w:pStyle w:val="2"/>
        <w:ind w:left="0" w:leftChars="0" w:firstLine="0" w:firstLineChars="0"/>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 xml:space="preserve">附件1： </w:t>
      </w:r>
    </w:p>
    <w:p>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工程质量保修书</w:t>
      </w:r>
    </w:p>
    <w:p>
      <w:pPr>
        <w:pStyle w:val="41"/>
        <w:spacing w:line="360" w:lineRule="auto"/>
        <w:ind w:left="408" w:leftChars="170" w:firstLine="117" w:firstLineChars="49"/>
        <w:rPr>
          <w:rFonts w:hint="eastAsia" w:hAnsi="仿宋_GB2312" w:cs="仿宋_GB2312"/>
          <w:color w:val="auto"/>
          <w:sz w:val="24"/>
          <w:highlight w:val="none"/>
        </w:rPr>
      </w:pPr>
      <w:r>
        <w:rPr>
          <w:rFonts w:hint="eastAsia" w:hAnsi="仿宋_GB2312" w:cs="仿宋_GB2312"/>
          <w:color w:val="auto"/>
          <w:sz w:val="24"/>
          <w:highlight w:val="none"/>
        </w:rPr>
        <w:t>发包人（全称）：</w:t>
      </w:r>
      <w:r>
        <w:rPr>
          <w:rFonts w:hint="eastAsia" w:hAnsi="仿宋_GB2312" w:cs="仿宋_GB2312"/>
          <w:color w:val="auto"/>
          <w:sz w:val="24"/>
          <w:highlight w:val="none"/>
          <w:u w:val="single"/>
        </w:rPr>
        <w:t xml:space="preserve">   华北水利水电大学                           </w:t>
      </w:r>
    </w:p>
    <w:p>
      <w:pPr>
        <w:pStyle w:val="41"/>
        <w:spacing w:line="360" w:lineRule="auto"/>
        <w:ind w:firstLine="480" w:firstLineChars="200"/>
        <w:rPr>
          <w:rStyle w:val="46"/>
          <w:rFonts w:hint="eastAsia" w:hAnsi="仿宋_GB2312" w:cs="仿宋_GB2312"/>
          <w:color w:val="auto"/>
          <w:sz w:val="24"/>
          <w:highlight w:val="none"/>
        </w:rPr>
      </w:pPr>
      <w:r>
        <w:rPr>
          <w:rFonts w:hint="eastAsia" w:hAnsi="仿宋_GB2312" w:cs="仿宋_GB2312"/>
          <w:color w:val="auto"/>
          <w:sz w:val="24"/>
          <w:highlight w:val="none"/>
        </w:rPr>
        <w:t>承包人（全称）：</w:t>
      </w:r>
      <w:r>
        <w:rPr>
          <w:rFonts w:hint="eastAsia" w:hAnsi="仿宋_GB2312" w:cs="仿宋_GB2312"/>
          <w:color w:val="auto"/>
          <w:sz w:val="24"/>
          <w:highlight w:val="none"/>
          <w:u w:val="single"/>
        </w:rPr>
        <w:t xml:space="preserve">                                </w:t>
      </w:r>
      <w:r>
        <w:rPr>
          <w:rStyle w:val="46"/>
          <w:rFonts w:hint="eastAsia" w:hAnsi="仿宋_GB2312" w:cs="仿宋_GB2312"/>
          <w:color w:val="auto"/>
          <w:sz w:val="24"/>
          <w:highlight w:val="none"/>
        </w:rPr>
        <w:t xml:space="preserve">              </w:t>
      </w:r>
    </w:p>
    <w:p>
      <w:pPr>
        <w:pStyle w:val="41"/>
        <w:spacing w:line="360" w:lineRule="auto"/>
        <w:ind w:firstLine="480" w:firstLineChars="200"/>
        <w:rPr>
          <w:rFonts w:hint="eastAsia" w:hAnsi="仿宋_GB2312" w:cs="仿宋_GB2312"/>
          <w:color w:val="auto"/>
          <w:sz w:val="24"/>
          <w:highlight w:val="none"/>
        </w:rPr>
      </w:pPr>
      <w:r>
        <w:rPr>
          <w:rFonts w:hint="eastAsia" w:hAnsi="仿宋_GB2312" w:cs="仿宋_GB2312"/>
          <w:color w:val="auto"/>
          <w:sz w:val="24"/>
          <w:highlight w:val="none"/>
        </w:rPr>
        <w:t>发包人、承包人根据《中华人民共和国建筑法》、《建设工程质量管理条例》，经协商一致就</w:t>
      </w:r>
      <w:r>
        <w:rPr>
          <w:rFonts w:hint="eastAsia" w:hAnsi="仿宋_GB2312" w:cs="仿宋_GB2312"/>
          <w:color w:val="auto"/>
          <w:sz w:val="24"/>
          <w:highlight w:val="none"/>
          <w:u w:val="single"/>
        </w:rPr>
        <w:t xml:space="preserve">                   </w:t>
      </w:r>
      <w:r>
        <w:rPr>
          <w:rStyle w:val="46"/>
          <w:rFonts w:hint="eastAsia" w:hAnsi="仿宋_GB2312" w:cs="仿宋_GB2312"/>
          <w:color w:val="auto"/>
          <w:sz w:val="24"/>
          <w:highlight w:val="none"/>
          <w:u w:val="none"/>
        </w:rPr>
        <w:t>工程</w:t>
      </w:r>
      <w:r>
        <w:rPr>
          <w:rFonts w:hint="eastAsia" w:hAnsi="仿宋_GB2312" w:cs="仿宋_GB2312"/>
          <w:color w:val="auto"/>
          <w:sz w:val="24"/>
          <w:highlight w:val="none"/>
        </w:rPr>
        <w:t>签订工程质量保修书。承包人在质量保修期内按照有关管理规定及双方约定承担工程质量保修责任。</w:t>
      </w:r>
    </w:p>
    <w:p>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一、工程质量保修范围和内容</w:t>
      </w:r>
    </w:p>
    <w:p>
      <w:pPr>
        <w:pStyle w:val="41"/>
        <w:spacing w:line="360" w:lineRule="auto"/>
        <w:ind w:firstLine="480" w:firstLineChars="200"/>
        <w:rPr>
          <w:rFonts w:hint="eastAsia" w:hAnsi="仿宋_GB2312" w:cs="仿宋_GB2312"/>
          <w:color w:val="auto"/>
          <w:sz w:val="24"/>
          <w:highlight w:val="none"/>
        </w:rPr>
      </w:pPr>
      <w:r>
        <w:rPr>
          <w:rFonts w:hint="eastAsia" w:hAnsi="仿宋_GB2312" w:cs="仿宋_GB2312"/>
          <w:color w:val="auto"/>
          <w:sz w:val="24"/>
          <w:highlight w:val="none"/>
        </w:rPr>
        <w:t>承包人在质量保修期内，按照有关法律、法规、规章的管理规定和双方约定，承担本工程质量保修责任。</w:t>
      </w:r>
    </w:p>
    <w:p>
      <w:pPr>
        <w:spacing w:line="360" w:lineRule="auto"/>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具体质量保修内容双方约定如下：</w:t>
      </w:r>
      <w:r>
        <w:rPr>
          <w:rFonts w:hint="eastAsia" w:ascii="仿宋_GB2312" w:hAnsi="仿宋_GB2312" w:eastAsia="仿宋_GB2312" w:cs="仿宋_GB2312"/>
          <w:color w:val="auto"/>
          <w:highlight w:val="none"/>
          <w:u w:val="single"/>
        </w:rPr>
        <w:t>执行本招标文件对于本工程的招标范围。</w:t>
      </w:r>
    </w:p>
    <w:p>
      <w:pPr>
        <w:spacing w:line="360" w:lineRule="auto"/>
        <w:ind w:firstLine="482" w:firstLineChars="20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二、质量保修期</w:t>
      </w:r>
    </w:p>
    <w:p>
      <w:pPr>
        <w:spacing w:line="360" w:lineRule="auto"/>
        <w:ind w:firstLine="470"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根据《建设工程质量管理条例》及有关规定（若投标人的质量保证期高于此条例及相关规定，则以投标人的质量保证期为准），工程的质量保修期如下：</w:t>
      </w:r>
    </w:p>
    <w:p>
      <w:pPr>
        <w:spacing w:line="360" w:lineRule="auto"/>
        <w:ind w:firstLine="470"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1．地基基础工程和主体结构工程为设计文件规定的工程合理使用年限；</w:t>
      </w:r>
    </w:p>
    <w:p>
      <w:pPr>
        <w:spacing w:line="360" w:lineRule="auto"/>
        <w:ind w:firstLine="470" w:firstLineChars="196"/>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屋面防水工程、有防水要求的卫生间、房间和外墙面的防渗</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为</w:t>
      </w:r>
      <w:r>
        <w:rPr>
          <w:rFonts w:hint="eastAsia"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p>
    <w:p>
      <w:pPr>
        <w:spacing w:line="360" w:lineRule="auto"/>
        <w:ind w:firstLine="470" w:firstLineChars="196"/>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ascii="仿宋_GB2312" w:hAnsi="仿宋_GB2312" w:eastAsia="仿宋_GB2312" w:cs="仿宋_GB2312"/>
          <w:color w:val="auto"/>
          <w:highlight w:val="none"/>
        </w:rPr>
        <w:t>装修工程为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p>
    <w:p>
      <w:pPr>
        <w:spacing w:line="360" w:lineRule="auto"/>
        <w:ind w:firstLine="470" w:firstLineChars="196"/>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r>
        <w:rPr>
          <w:rFonts w:ascii="仿宋_GB2312" w:hAnsi="仿宋_GB2312" w:eastAsia="仿宋_GB2312" w:cs="仿宋_GB2312"/>
          <w:color w:val="auto"/>
          <w:highlight w:val="none"/>
        </w:rPr>
        <w:t>电气管线、给排水管道、设备安装工程为</w:t>
      </w:r>
      <w:r>
        <w:rPr>
          <w:rFonts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p>
    <w:p>
      <w:pPr>
        <w:spacing w:line="360" w:lineRule="auto"/>
        <w:ind w:firstLine="470" w:firstLineChars="196"/>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5．</w:t>
      </w:r>
      <w:r>
        <w:rPr>
          <w:rFonts w:ascii="仿宋_GB2312" w:hAnsi="仿宋_GB2312" w:eastAsia="仿宋_GB2312" w:cs="仿宋_GB2312"/>
          <w:color w:val="auto"/>
          <w:highlight w:val="none"/>
        </w:rPr>
        <w:t>供热与供冷系统为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个采暖期、供冷期；</w:t>
      </w:r>
    </w:p>
    <w:p>
      <w:pPr>
        <w:spacing w:line="360" w:lineRule="auto"/>
        <w:ind w:firstLine="470" w:firstLineChars="196"/>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6．</w:t>
      </w:r>
      <w:r>
        <w:rPr>
          <w:rFonts w:ascii="仿宋_GB2312" w:hAnsi="仿宋_GB2312" w:eastAsia="仿宋_GB2312" w:cs="仿宋_GB2312"/>
          <w:color w:val="auto"/>
          <w:highlight w:val="none"/>
        </w:rPr>
        <w:t>住宅小区内的给排水设施、道路等配套工程为</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年；</w:t>
      </w:r>
    </w:p>
    <w:p>
      <w:pPr>
        <w:spacing w:line="360" w:lineRule="auto"/>
        <w:ind w:firstLine="470" w:firstLineChars="196"/>
        <w:rPr>
          <w:rFonts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7．</w:t>
      </w:r>
      <w:r>
        <w:rPr>
          <w:rFonts w:ascii="仿宋_GB2312" w:hAnsi="仿宋_GB2312" w:eastAsia="仿宋_GB2312" w:cs="仿宋_GB2312"/>
          <w:color w:val="auto"/>
          <w:highlight w:val="none"/>
        </w:rPr>
        <w:t>其他项目保修期限约定如下：</w:t>
      </w: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2年</w:t>
      </w:r>
      <w:r>
        <w:rPr>
          <w:rFonts w:hint="eastAsia"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w:t>
      </w:r>
    </w:p>
    <w:p>
      <w:pPr>
        <w:spacing w:line="360" w:lineRule="auto"/>
        <w:ind w:firstLine="470" w:firstLineChars="196"/>
        <w:rPr>
          <w:rFonts w:ascii="仿宋_GB2312" w:hAnsi="仿宋_GB2312" w:eastAsia="仿宋_GB2312" w:cs="仿宋_GB2312"/>
          <w:color w:val="auto"/>
          <w:highlight w:val="none"/>
        </w:rPr>
      </w:pPr>
      <w:r>
        <w:rPr>
          <w:rFonts w:ascii="仿宋_GB2312" w:hAnsi="仿宋_GB2312" w:eastAsia="仿宋_GB2312" w:cs="仿宋_GB2312"/>
          <w:color w:val="auto"/>
          <w:highlight w:val="none"/>
        </w:rPr>
        <w:t>　　质量保修期自工程竣工验收合格之日起计算。</w:t>
      </w:r>
    </w:p>
    <w:p>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三、缺陷责任期</w:t>
      </w:r>
    </w:p>
    <w:p>
      <w:pPr>
        <w:spacing w:line="360" w:lineRule="auto"/>
        <w:ind w:firstLine="480" w:firstLineChars="200"/>
        <w:rPr>
          <w:rFonts w:ascii="仿宋_GB2312" w:hAnsi="仿宋_GB2312" w:eastAsia="仿宋_GB2312" w:cs="仿宋_GB2312"/>
          <w:color w:val="auto"/>
          <w:highlight w:val="none"/>
        </w:rPr>
      </w:pPr>
      <w:r>
        <w:rPr>
          <w:rFonts w:ascii="仿宋_GB2312" w:hAnsi="仿宋_GB2312" w:eastAsia="仿宋_GB2312" w:cs="仿宋_GB2312"/>
          <w:color w:val="auto"/>
          <w:highlight w:val="none"/>
        </w:rPr>
        <w:t>工程缺陷责任期为</w:t>
      </w:r>
      <w:r>
        <w:rPr>
          <w:rFonts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24</w:t>
      </w:r>
      <w:r>
        <w:rPr>
          <w:rFonts w:ascii="仿宋_GB2312" w:hAnsi="仿宋_GB2312" w:eastAsia="仿宋_GB2312" w:cs="仿宋_GB2312"/>
          <w:color w:val="auto"/>
          <w:highlight w:val="none"/>
          <w:u w:val="single"/>
        </w:rPr>
        <w:t xml:space="preserve">  </w:t>
      </w:r>
      <w:r>
        <w:rPr>
          <w:rFonts w:ascii="仿宋_GB2312" w:hAnsi="仿宋_GB2312" w:eastAsia="仿宋_GB2312" w:cs="仿宋_GB2312"/>
          <w:color w:val="auto"/>
          <w:highlight w:val="none"/>
        </w:rPr>
        <w:t>个月，缺陷责任期自工程</w:t>
      </w:r>
      <w:r>
        <w:rPr>
          <w:rFonts w:hint="eastAsia" w:ascii="仿宋_GB2312" w:hAnsi="仿宋_GB2312" w:eastAsia="仿宋_GB2312" w:cs="仿宋_GB2312"/>
          <w:color w:val="auto"/>
          <w:highlight w:val="none"/>
        </w:rPr>
        <w:t>通过竣工验收</w:t>
      </w:r>
      <w:r>
        <w:rPr>
          <w:rFonts w:ascii="仿宋_GB2312" w:hAnsi="仿宋_GB2312" w:eastAsia="仿宋_GB2312" w:cs="仿宋_GB2312"/>
          <w:color w:val="auto"/>
          <w:highlight w:val="none"/>
        </w:rPr>
        <w:t>之日起计算。单位工程先于全部工程进行验收，单位工程缺陷责任期自单位工程验收合格之日起算。</w:t>
      </w:r>
    </w:p>
    <w:p>
      <w:pPr>
        <w:spacing w:line="360" w:lineRule="auto"/>
        <w:ind w:firstLine="480" w:firstLineChars="200"/>
        <w:rPr>
          <w:rFonts w:hint="eastAsia" w:ascii="仿宋_GB2312" w:hAnsi="仿宋_GB2312" w:eastAsia="仿宋_GB2312" w:cs="仿宋_GB2312"/>
          <w:color w:val="auto"/>
          <w:highlight w:val="none"/>
        </w:rPr>
      </w:pPr>
      <w:r>
        <w:rPr>
          <w:rFonts w:ascii="仿宋_GB2312" w:hAnsi="仿宋_GB2312" w:eastAsia="仿宋_GB2312" w:cs="仿宋_GB2312"/>
          <w:color w:val="auto"/>
          <w:highlight w:val="none"/>
        </w:rPr>
        <w:t>缺陷责任期终止后，发包人应退还剩余的质量保证金。</w:t>
      </w:r>
    </w:p>
    <w:p>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四、质量保修责任</w:t>
      </w:r>
    </w:p>
    <w:p>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r>
        <w:rPr>
          <w:rFonts w:ascii="仿宋_GB2312" w:hAnsi="仿宋_GB2312" w:eastAsia="仿宋_GB2312" w:cs="仿宋_GB2312"/>
          <w:color w:val="auto"/>
          <w:highlight w:val="none"/>
        </w:rPr>
        <w:t>属于保修范围、内容的项目，承包人应当在接到保修通知之日起7天内派人保修。承包人不在约定期限内派人保修的，发包人可以委托他人修理。</w:t>
      </w:r>
    </w:p>
    <w:p>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r>
        <w:rPr>
          <w:rFonts w:ascii="仿宋_GB2312" w:hAnsi="仿宋_GB2312" w:eastAsia="仿宋_GB2312" w:cs="仿宋_GB2312"/>
          <w:color w:val="auto"/>
          <w:highlight w:val="none"/>
        </w:rPr>
        <w:t>发生紧急事故需抢修的，承包人在接到事故通知后，应当立即到达事故现场抢修。</w:t>
      </w:r>
    </w:p>
    <w:p>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w:t>
      </w:r>
      <w:r>
        <w:rPr>
          <w:rFonts w:ascii="仿宋_GB2312" w:hAnsi="仿宋_GB2312" w:eastAsia="仿宋_GB2312" w:cs="仿宋_GB2312"/>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w:t>
      </w:r>
      <w:r>
        <w:rPr>
          <w:rFonts w:ascii="仿宋_GB2312" w:hAnsi="仿宋_GB2312" w:eastAsia="仿宋_GB2312" w:cs="仿宋_GB2312"/>
          <w:color w:val="auto"/>
          <w:highlight w:val="none"/>
        </w:rPr>
        <w:t>质量保修完成后，由发包人组织验收。</w:t>
      </w:r>
    </w:p>
    <w:p>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五、保修费用</w:t>
      </w:r>
    </w:p>
    <w:p>
      <w:pPr>
        <w:spacing w:line="360" w:lineRule="auto"/>
        <w:ind w:firstLine="470" w:firstLineChars="19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保修费用由造成质量缺陷的责任方承担。</w:t>
      </w:r>
    </w:p>
    <w:p>
      <w:pPr>
        <w:spacing w:line="360" w:lineRule="auto"/>
        <w:ind w:firstLine="472" w:firstLineChars="196"/>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六、其他</w:t>
      </w:r>
    </w:p>
    <w:p>
      <w:pPr>
        <w:spacing w:line="360" w:lineRule="auto"/>
        <w:ind w:firstLine="48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双方约定的其他工程质量保修事项：</w:t>
      </w:r>
      <w:r>
        <w:rPr>
          <w:rFonts w:hint="eastAsia" w:ascii="仿宋_GB2312" w:hAnsi="仿宋_GB2312" w:eastAsia="仿宋_GB2312" w:cs="仿宋_GB2312"/>
          <w:color w:val="auto"/>
          <w:highlight w:val="none"/>
          <w:u w:val="single"/>
        </w:rPr>
        <w:t xml:space="preserve">        </w:t>
      </w:r>
    </w:p>
    <w:p>
      <w:pPr>
        <w:pStyle w:val="41"/>
        <w:spacing w:line="360" w:lineRule="auto"/>
        <w:ind w:firstLine="480" w:firstLineChars="200"/>
        <w:rPr>
          <w:rFonts w:hint="eastAsia" w:hAnsi="仿宋_GB2312" w:cs="仿宋_GB2312"/>
          <w:color w:val="auto"/>
          <w:sz w:val="24"/>
          <w:highlight w:val="none"/>
        </w:rPr>
      </w:pPr>
      <w:r>
        <w:rPr>
          <w:rFonts w:hint="eastAsia" w:hAnsi="仿宋_GB2312" w:cs="仿宋_GB2312"/>
          <w:color w:val="auto"/>
          <w:sz w:val="24"/>
          <w:highlight w:val="none"/>
        </w:rPr>
        <w:t>本工程质量保修书由发包人、承包人在工程竣工验收前共同签署，作为施工合同附件，其有效期限至保修期满。</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发包人(公章)：</w:t>
      </w:r>
      <w:r>
        <w:rPr>
          <w:rFonts w:hint="eastAsia" w:ascii="仿宋_GB2312" w:hAnsi="仿宋_GB2312" w:eastAsia="仿宋_GB2312" w:cs="仿宋_GB2312"/>
          <w:color w:val="auto"/>
          <w:highlight w:val="none"/>
          <w:u w:val="single"/>
        </w:rPr>
        <w:t xml:space="preserve">       </w:t>
      </w:r>
      <w:r>
        <w:rPr>
          <w:rFonts w:hint="eastAsia" w:ascii="仿宋_GB2312" w:hAnsi="仿宋_GB2312" w:eastAsia="仿宋_GB2312" w:cs="仿宋_GB2312"/>
          <w:color w:val="auto"/>
          <w:highlight w:val="none"/>
        </w:rPr>
        <w:t xml:space="preserve">             承包人(公章)：</w:t>
      </w:r>
      <w:r>
        <w:rPr>
          <w:rFonts w:hint="eastAsia" w:ascii="仿宋_GB2312" w:hAnsi="仿宋_GB2312" w:eastAsia="仿宋_GB2312" w:cs="仿宋_GB2312"/>
          <w:color w:val="auto"/>
          <w:highlight w:val="none"/>
          <w:u w:val="single"/>
        </w:rPr>
        <w:t xml:space="preserve">           </w:t>
      </w:r>
    </w:p>
    <w:p>
      <w:pPr>
        <w:spacing w:line="360" w:lineRule="auto"/>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地  址：</w:t>
      </w:r>
      <w:r>
        <w:rPr>
          <w:rFonts w:hint="eastAsia" w:ascii="仿宋_GB2312" w:hAnsi="仿宋_GB2312" w:eastAsia="仿宋_GB2312" w:cs="仿宋_GB2312"/>
          <w:color w:val="auto"/>
          <w:highlight w:val="none"/>
          <w:u w:val="single"/>
        </w:rPr>
        <w:t xml:space="preserve">     </w:t>
      </w:r>
      <w:r>
        <w:rPr>
          <w:rFonts w:hint="eastAsia" w:ascii="仿宋_GB2312" w:hAnsi="仿宋_GB2312" w:eastAsia="仿宋_GB2312" w:cs="仿宋_GB2312"/>
          <w:color w:val="auto"/>
          <w:highlight w:val="none"/>
        </w:rPr>
        <w:t xml:space="preserve">             地  址：</w:t>
      </w:r>
      <w:r>
        <w:rPr>
          <w:rFonts w:hint="eastAsia" w:ascii="仿宋_GB2312" w:hAnsi="仿宋_GB2312" w:eastAsia="仿宋_GB2312" w:cs="仿宋_GB2312"/>
          <w:color w:val="auto"/>
          <w:highlight w:val="none"/>
          <w:u w:val="single"/>
        </w:rPr>
        <w:t xml:space="preserve"> 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法定代表人或其                          法定代表人或其</w:t>
      </w:r>
    </w:p>
    <w:p>
      <w:pPr>
        <w:spacing w:line="360" w:lineRule="auto"/>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委托代理人(签字)</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委托代理人(签字)</w:t>
      </w:r>
      <w:r>
        <w:rPr>
          <w:rFonts w:hint="eastAsia" w:ascii="仿宋_GB2312" w:hAnsi="仿宋_GB2312" w:eastAsia="仿宋_GB2312" w:cs="仿宋_GB2312"/>
          <w:color w:val="auto"/>
          <w:highlight w:val="none"/>
          <w:u w:val="single"/>
        </w:rPr>
        <w:t xml:space="preserve">：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  话：</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电  话：</w:t>
      </w:r>
      <w:r>
        <w:rPr>
          <w:rFonts w:hint="eastAsia" w:ascii="仿宋_GB2312" w:hAnsi="仿宋_GB2312" w:eastAsia="仿宋_GB2312" w:cs="仿宋_GB2312"/>
          <w:color w:val="auto"/>
          <w:highlight w:val="none"/>
          <w:u w:val="single"/>
        </w:rPr>
        <w:t xml:space="preserve">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传  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传  真：</w:t>
      </w:r>
      <w:r>
        <w:rPr>
          <w:rFonts w:hint="eastAsia" w:ascii="仿宋_GB2312" w:hAnsi="仿宋_GB2312" w:eastAsia="仿宋_GB2312" w:cs="仿宋_GB2312"/>
          <w:color w:val="auto"/>
          <w:highlight w:val="none"/>
          <w:u w:val="single"/>
        </w:rPr>
        <w:t xml:space="preserve">  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开户银行：</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开户银行：</w:t>
      </w:r>
      <w:r>
        <w:rPr>
          <w:rFonts w:hint="eastAsia" w:ascii="仿宋_GB2312" w:hAnsi="仿宋_GB2312" w:eastAsia="仿宋_GB2312" w:cs="仿宋_GB2312"/>
          <w:color w:val="auto"/>
          <w:highlight w:val="none"/>
          <w:u w:val="single"/>
        </w:rPr>
        <w:t xml:space="preserve">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账  号：</w:t>
      </w:r>
      <w:r>
        <w:rPr>
          <w:rFonts w:hint="eastAsia" w:ascii="仿宋_GB2312" w:hAnsi="仿宋_GB2312" w:eastAsia="仿宋_GB2312" w:cs="仿宋_GB2312"/>
          <w:color w:val="auto"/>
          <w:highlight w:val="none"/>
          <w:u w:val="single"/>
        </w:rPr>
        <w:t xml:space="preserve">       </w:t>
      </w:r>
      <w:r>
        <w:rPr>
          <w:rFonts w:hint="eastAsia" w:ascii="仿宋_GB2312" w:hAnsi="仿宋_GB2312" w:eastAsia="仿宋_GB2312" w:cs="仿宋_GB2312"/>
          <w:color w:val="auto"/>
          <w:highlight w:val="none"/>
        </w:rPr>
        <w:t xml:space="preserve">             账  号：</w:t>
      </w:r>
      <w:r>
        <w:rPr>
          <w:rFonts w:hint="eastAsia" w:ascii="仿宋_GB2312" w:hAnsi="仿宋_GB2312" w:eastAsia="仿宋_GB2312" w:cs="仿宋_GB2312"/>
          <w:color w:val="auto"/>
          <w:highlight w:val="none"/>
          <w:u w:val="single"/>
        </w:rPr>
        <w:t xml:space="preserve">     </w:t>
      </w:r>
    </w:p>
    <w:p>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邮政编码：</w:t>
      </w:r>
      <w:r>
        <w:rPr>
          <w:rFonts w:hint="eastAsia" w:ascii="仿宋_GB2312" w:hAnsi="仿宋_GB2312" w:eastAsia="仿宋_GB2312" w:cs="仿宋_GB2312"/>
          <w:color w:val="auto"/>
          <w:highlight w:val="none"/>
          <w:u w:val="single"/>
        </w:rPr>
        <w:t xml:space="preserve">     </w:t>
      </w:r>
      <w:r>
        <w:rPr>
          <w:rFonts w:hint="eastAsia" w:ascii="仿宋_GB2312" w:hAnsi="仿宋_GB2312" w:eastAsia="仿宋_GB2312" w:cs="仿宋_GB2312"/>
          <w:color w:val="auto"/>
          <w:highlight w:val="none"/>
        </w:rPr>
        <w:t xml:space="preserve">             邮政编码：</w:t>
      </w:r>
      <w:r>
        <w:rPr>
          <w:rFonts w:hint="eastAsia" w:ascii="仿宋_GB2312" w:hAnsi="仿宋_GB2312" w:eastAsia="仿宋_GB2312" w:cs="仿宋_GB2312"/>
          <w:color w:val="auto"/>
          <w:highlight w:val="none"/>
          <w:u w:val="single"/>
        </w:rPr>
        <w:t xml:space="preserve">   </w:t>
      </w:r>
    </w:p>
    <w:p>
      <w:pPr>
        <w:spacing w:line="360" w:lineRule="auto"/>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color w:val="auto"/>
          <w:highlight w:val="none"/>
        </w:rPr>
        <w:br w:type="page"/>
      </w:r>
      <w:r>
        <w:rPr>
          <w:rFonts w:hint="eastAsia" w:ascii="仿宋_GB2312" w:hAnsi="仿宋_GB2312" w:eastAsia="仿宋_GB2312" w:cs="仿宋_GB2312"/>
          <w:b/>
          <w:color w:val="auto"/>
          <w:highlight w:val="none"/>
        </w:rPr>
        <w:t>附件2：</w:t>
      </w:r>
    </w:p>
    <w:p>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主要建设工程文件目录</w:t>
      </w:r>
    </w:p>
    <w:tbl>
      <w:tblPr>
        <w:tblStyle w:val="23"/>
        <w:tblW w:w="888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39"/>
        <w:gridCol w:w="1417"/>
        <w:gridCol w:w="1560"/>
        <w:gridCol w:w="1417"/>
        <w:gridCol w:w="1985"/>
        <w:gridCol w:w="13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4" w:hRule="atLeast"/>
          <w:jc w:val="center"/>
        </w:trPr>
        <w:tc>
          <w:tcPr>
            <w:tcW w:w="1139" w:type="dxa"/>
            <w:tcBorders>
              <w:top w:val="single" w:color="auto" w:sz="12" w:space="0"/>
              <w:bottom w:val="single" w:color="auto" w:sz="4"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文件名称</w:t>
            </w:r>
          </w:p>
        </w:tc>
        <w:tc>
          <w:tcPr>
            <w:tcW w:w="1417" w:type="dxa"/>
            <w:tcBorders>
              <w:top w:val="single" w:color="auto" w:sz="12" w:space="0"/>
              <w:bottom w:val="single" w:color="auto" w:sz="4"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套数</w:t>
            </w:r>
          </w:p>
        </w:tc>
        <w:tc>
          <w:tcPr>
            <w:tcW w:w="1560" w:type="dxa"/>
            <w:tcBorders>
              <w:top w:val="single" w:color="auto" w:sz="12" w:space="0"/>
              <w:bottom w:val="single" w:color="auto" w:sz="4"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费用（元）</w:t>
            </w:r>
          </w:p>
        </w:tc>
        <w:tc>
          <w:tcPr>
            <w:tcW w:w="1417" w:type="dxa"/>
            <w:tcBorders>
              <w:top w:val="single" w:color="auto" w:sz="12" w:space="0"/>
              <w:bottom w:val="single" w:color="auto" w:sz="4"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质量</w:t>
            </w:r>
          </w:p>
        </w:tc>
        <w:tc>
          <w:tcPr>
            <w:tcW w:w="1985" w:type="dxa"/>
            <w:tcBorders>
              <w:top w:val="single" w:color="auto" w:sz="12" w:space="0"/>
              <w:bottom w:val="single" w:color="auto" w:sz="4" w:space="0"/>
            </w:tcBorders>
            <w:noWrap w:val="0"/>
            <w:vAlign w:val="center"/>
          </w:tcPr>
          <w:p>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移交时间</w:t>
            </w:r>
          </w:p>
        </w:tc>
        <w:tc>
          <w:tcPr>
            <w:tcW w:w="1364" w:type="dxa"/>
            <w:tcBorders>
              <w:top w:val="single" w:color="auto" w:sz="12" w:space="0"/>
              <w:bottom w:val="single" w:color="auto" w:sz="4" w:space="0"/>
            </w:tcBorders>
            <w:noWrap w:val="0"/>
            <w:vAlign w:val="center"/>
          </w:tcPr>
          <w:p>
            <w:pPr>
              <w:spacing w:line="360" w:lineRule="auto"/>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9"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竣工资料</w:t>
            </w:r>
          </w:p>
        </w:tc>
        <w:tc>
          <w:tcPr>
            <w:tcW w:w="1417"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纸质</w:t>
            </w: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套，电子扫描文档1套</w:t>
            </w:r>
          </w:p>
        </w:tc>
        <w:tc>
          <w:tcPr>
            <w:tcW w:w="1560"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由承包人承担</w:t>
            </w:r>
          </w:p>
        </w:tc>
        <w:tc>
          <w:tcPr>
            <w:tcW w:w="1417"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按国家、省、市相关规定和监理人的要求。</w:t>
            </w:r>
          </w:p>
          <w:p>
            <w:pPr>
              <w:pStyle w:val="10"/>
              <w:keepNext/>
              <w:spacing w:after="0" w:line="360" w:lineRule="auto"/>
              <w:ind w:left="63" w:right="63"/>
              <w:rPr>
                <w:rFonts w:hint="eastAsia" w:ascii="仿宋_GB2312" w:hAnsi="仿宋_GB2312" w:eastAsia="仿宋_GB2312" w:cs="仿宋_GB2312"/>
                <w:color w:val="auto"/>
                <w:sz w:val="24"/>
                <w:highlight w:val="none"/>
              </w:rPr>
            </w:pPr>
          </w:p>
        </w:tc>
        <w:tc>
          <w:tcPr>
            <w:tcW w:w="1985"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工程竣工验收合格后7日内</w:t>
            </w:r>
          </w:p>
        </w:tc>
        <w:tc>
          <w:tcPr>
            <w:tcW w:w="1364" w:type="dxa"/>
            <w:tcBorders>
              <w:top w:val="single" w:color="auto" w:sz="4" w:space="0"/>
              <w:bottom w:val="single" w:color="auto" w:sz="6" w:space="0"/>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39"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竣工结算资料</w:t>
            </w:r>
          </w:p>
        </w:tc>
        <w:tc>
          <w:tcPr>
            <w:tcW w:w="1417"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纸质3套</w:t>
            </w:r>
          </w:p>
        </w:tc>
        <w:tc>
          <w:tcPr>
            <w:tcW w:w="1560"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由承包人承担</w:t>
            </w:r>
          </w:p>
        </w:tc>
        <w:tc>
          <w:tcPr>
            <w:tcW w:w="1417"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详见本合同通用条款</w:t>
            </w:r>
          </w:p>
        </w:tc>
        <w:tc>
          <w:tcPr>
            <w:tcW w:w="1985"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工程竣工验收合格后28天内向发包人和监理人提交竣工结算申请单，并提交完整的结算资料</w:t>
            </w:r>
          </w:p>
        </w:tc>
        <w:tc>
          <w:tcPr>
            <w:tcW w:w="1364" w:type="dxa"/>
            <w:tcBorders>
              <w:top w:val="nil"/>
            </w:tcBorders>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882" w:type="dxa"/>
            <w:gridSpan w:val="6"/>
            <w:noWrap w:val="0"/>
            <w:vAlign w:val="center"/>
          </w:tcPr>
          <w:p>
            <w:pPr>
              <w:pStyle w:val="10"/>
              <w:keepNext/>
              <w:spacing w:after="0" w:line="360" w:lineRule="auto"/>
              <w:ind w:left="63" w:right="6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其它需递交文件详见本合同专用条款、通用条款</w:t>
            </w:r>
          </w:p>
        </w:tc>
      </w:tr>
    </w:tbl>
    <w:p>
      <w:pPr>
        <w:spacing w:line="360" w:lineRule="auto"/>
        <w:jc w:val="center"/>
        <w:rPr>
          <w:rFonts w:hint="eastAsia" w:ascii="仿宋_GB2312" w:hAnsi="仿宋_GB2312" w:eastAsia="仿宋_GB2312" w:cs="仿宋_GB2312"/>
          <w:color w:val="auto"/>
          <w:highlight w:val="none"/>
        </w:rPr>
      </w:pPr>
    </w:p>
    <w:p>
      <w:pPr>
        <w:spacing w:line="360" w:lineRule="auto"/>
        <w:rPr>
          <w:rFonts w:hint="eastAsia" w:ascii="仿宋_GB2312" w:hAnsi="仿宋_GB2312" w:eastAsia="仿宋_GB2312" w:cs="仿宋_GB2312"/>
          <w:b/>
          <w:color w:val="auto"/>
          <w:highlight w:val="none"/>
        </w:rPr>
      </w:pPr>
      <w:bookmarkStart w:id="36" w:name="_Toc370727442"/>
      <w:bookmarkStart w:id="37" w:name="_Toc374350318"/>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附</w:t>
      </w:r>
      <w:bookmarkStart w:id="38" w:name="_Toc296891268"/>
      <w:bookmarkStart w:id="39" w:name="_Toc296346729"/>
      <w:bookmarkStart w:id="40" w:name="_Toc296891056"/>
      <w:bookmarkStart w:id="41" w:name="_Toc296944567"/>
      <w:bookmarkStart w:id="42" w:name="_Toc267261699"/>
      <w:bookmarkStart w:id="43" w:name="_Toc296503228"/>
      <w:bookmarkStart w:id="44" w:name="_Toc296347227"/>
      <w:r>
        <w:rPr>
          <w:rFonts w:hint="eastAsia" w:ascii="仿宋_GB2312" w:hAnsi="仿宋_GB2312" w:eastAsia="仿宋_GB2312" w:cs="仿宋_GB2312"/>
          <w:b/>
          <w:color w:val="auto"/>
          <w:highlight w:val="none"/>
        </w:rPr>
        <w:t>件3：</w:t>
      </w:r>
      <w:bookmarkEnd w:id="36"/>
      <w:bookmarkEnd w:id="37"/>
    </w:p>
    <w:bookmarkEnd w:id="38"/>
    <w:bookmarkEnd w:id="39"/>
    <w:bookmarkEnd w:id="40"/>
    <w:bookmarkEnd w:id="41"/>
    <w:bookmarkEnd w:id="42"/>
    <w:bookmarkEnd w:id="43"/>
    <w:bookmarkEnd w:id="44"/>
    <w:p>
      <w:pPr>
        <w:adjustRightInd w:val="0"/>
        <w:snapToGrid w:val="0"/>
        <w:spacing w:line="360" w:lineRule="auto"/>
        <w:jc w:val="center"/>
        <w:rPr>
          <w:rFonts w:hint="eastAsia" w:ascii="仿宋_GB2312" w:hAnsi="仿宋_GB2312" w:eastAsia="仿宋_GB2312" w:cs="仿宋_GB2312"/>
          <w:b/>
          <w:color w:val="auto"/>
          <w:highlight w:val="none"/>
        </w:rPr>
      </w:pPr>
      <w:bookmarkStart w:id="45" w:name="_Toc370727443"/>
      <w:bookmarkStart w:id="46" w:name="_Toc374350319"/>
      <w:r>
        <w:rPr>
          <w:rFonts w:hint="eastAsia" w:ascii="仿宋_GB2312" w:hAnsi="仿宋_GB2312" w:eastAsia="仿宋_GB2312" w:cs="仿宋_GB2312"/>
          <w:b/>
          <w:color w:val="auto"/>
          <w:highlight w:val="none"/>
        </w:rPr>
        <w:t>承包人主要施工管理人员表</w:t>
      </w:r>
      <w:bookmarkEnd w:id="45"/>
      <w:bookmarkEnd w:id="46"/>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附件4：</w:t>
      </w:r>
    </w:p>
    <w:p>
      <w:pPr>
        <w:spacing w:line="360" w:lineRule="auto"/>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建设工程廉政责任书</w:t>
      </w:r>
    </w:p>
    <w:p>
      <w:pPr>
        <w:topLinePunct/>
        <w:spacing w:line="360" w:lineRule="auto"/>
        <w:ind w:firstLine="600" w:firstLineChars="250"/>
        <w:rPr>
          <w:rFonts w:hint="eastAsia" w:ascii="仿宋_GB2312" w:hAnsi="仿宋_GB2312" w:eastAsia="仿宋_GB2312" w:cs="仿宋_GB2312"/>
          <w:color w:val="auto"/>
          <w:highlight w:val="none"/>
        </w:rPr>
      </w:pP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发包人：</w:t>
      </w:r>
      <w:r>
        <w:rPr>
          <w:rFonts w:hint="eastAsia" w:ascii="仿宋_GB2312" w:hAnsi="仿宋_GB2312" w:eastAsia="仿宋_GB2312" w:cs="仿宋_GB2312"/>
          <w:color w:val="auto"/>
          <w:highlight w:val="none"/>
          <w:u w:val="single"/>
        </w:rPr>
        <w:t xml:space="preserve">      华北水利水电大学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承包人：</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一、双方的责任</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1.1应严格遵守国家关于建设工程的有关法律、法规，相关政策，以及廉政建设的各项规定。</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 严格执行合同文件，自觉按合同办事。</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 各项活动必须坚持公开、公平、公正、诚信、透明的原则（除法律法规另有规定者外），不得为获取不正当的利益，损害国家、集体和对方利益，不得违反建设工程管理的规章制度。</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1.4发现对方在业务活动中有违规、违纪、违法行为的，应及时提醒对方，情节严重的，应向其上级主管部门或纪检监察、司法等有关机关举报。</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二、发包人责任</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发包人的领导和从事该建设工程项目的工作人员，在工程建设的事前、事中、事后应遵守以下规定：</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2.1不得向承包人和相关单位索要或接受回扣、礼金、有价证券、贵重物品和好处费、感谢费等。</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2.2不得在承包人和相关单位报销任何应由发包人或个人支付的费用。</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2.3不得要求、暗示或接受承包人和相关单位为个人装修住房、婚丧嫁娶、配偶子女的工作安排以及出国(境)、旅游等提供方便。</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2.4不得参加有可能影响公正执行公务的承包人和相关单位的宴请、健身、娱乐等活动。</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2.5不得向承包人和相关单位介绍或为配偶、子女、亲属参与同发包人工程建设管理合同有关的业务活动；不得以任何理由要求承包人和相关单位使用某种产品、材料和设备。</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三、承包人责任</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应与发包人保持正常的业务交往，按照有关法律法规和程序开展业务工作，严格执行工程建设的有关方针、政策，执行工程建设强制性标准，并遵守以下规定：</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3.1不得以任何理由向发包人及其工作人员索要、接受或赠送礼金、有价证券、贵重物品及回扣、好处费、感谢费等。</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 不得以任何理由为发包人和相关单位报销应由对方或个人支付的费用。</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3.3不得接受或暗示为发包人、相关单位或个人装修住房、婚丧嫁娶、配偶子女的工作安排以及出国(境)、旅游等提供方便。</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3.4不得以任何理由为发包人、相关单位或个人组织有可能影响公正执行公务的宴请、健身、娱乐等活动。</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四、违约责任</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4.1发包人工作人员有违反本责任书第一、二条责任行为的，依据有关法律、法规给予处理；涉嫌犯罪的，移交司法机关追究刑事责任；给承包人单位造成经济损失的，应予以赔偿。</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4.2承包人工作人员有违反本责任书第一、三条责任行为的，依据有关法律法规处理；涉嫌犯罪的，移交司法机关追究刑事责任；给发包人单位造成经济损失的，应予以赔偿。</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4.3本责任书作为建设工程合同的组成部分，与建设工程合同具有同等法律效力。经双方签署后立即生效。</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五、责任书有效期</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本责任书的有效期为双方签署之日起至该工程项目竣工验收合格时止。</w:t>
      </w:r>
    </w:p>
    <w:p>
      <w:pPr>
        <w:topLinePunct/>
        <w:spacing w:line="360" w:lineRule="auto"/>
        <w:ind w:firstLine="602" w:firstLineChars="250"/>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六、责任书份数</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本责任书一式二份，发包人承包人各执一份，具有同等效力。</w:t>
      </w:r>
    </w:p>
    <w:p>
      <w:pPr>
        <w:topLinePunct/>
        <w:spacing w:line="360" w:lineRule="auto"/>
        <w:ind w:firstLine="600" w:firstLineChars="250"/>
        <w:rPr>
          <w:rFonts w:hint="eastAsia" w:ascii="仿宋_GB2312" w:hAnsi="仿宋_GB2312" w:eastAsia="仿宋_GB2312" w:cs="仿宋_GB2312"/>
          <w:color w:val="auto"/>
          <w:highlight w:val="none"/>
          <w:u w:val="single"/>
        </w:rPr>
      </w:pPr>
      <w:r>
        <w:rPr>
          <w:rFonts w:ascii="仿宋_GB2312" w:hAnsi="仿宋_GB2312" w:eastAsia="仿宋_GB2312" w:cs="仿宋_GB2312"/>
          <w:color w:val="auto"/>
          <w:highlight w:val="none"/>
          <w:u w:val="single"/>
        </w:rPr>
        <w:t>本页无正文</w:t>
      </w:r>
    </w:p>
    <w:p>
      <w:pPr>
        <w:topLinePunct/>
        <w:spacing w:line="360" w:lineRule="auto"/>
        <w:ind w:firstLine="600" w:firstLineChars="250"/>
        <w:rPr>
          <w:rFonts w:hint="eastAsia" w:ascii="仿宋_GB2312" w:hAnsi="仿宋_GB2312" w:eastAsia="仿宋_GB2312" w:cs="仿宋_GB2312"/>
          <w:color w:val="auto"/>
          <w:highlight w:val="none"/>
          <w:u w:val="single"/>
        </w:rPr>
      </w:pPr>
    </w:p>
    <w:p>
      <w:pPr>
        <w:topLinePunct/>
        <w:spacing w:line="360" w:lineRule="auto"/>
        <w:ind w:firstLine="600" w:firstLineChars="25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发 包 人：</w:t>
      </w:r>
      <w:r>
        <w:rPr>
          <w:rFonts w:hint="eastAsia" w:ascii="仿宋_GB2312" w:hAnsi="仿宋_GB2312" w:eastAsia="仿宋_GB2312" w:cs="仿宋_GB2312"/>
          <w:color w:val="auto"/>
          <w:highlight w:val="none"/>
          <w:u w:val="single"/>
        </w:rPr>
        <w:t xml:space="preserve">         (公章)   </w:t>
      </w:r>
      <w:r>
        <w:rPr>
          <w:rFonts w:hint="eastAsia" w:ascii="仿宋_GB2312" w:hAnsi="仿宋_GB2312" w:eastAsia="仿宋_GB2312" w:cs="仿宋_GB2312"/>
          <w:color w:val="auto"/>
          <w:highlight w:val="none"/>
        </w:rPr>
        <w:t xml:space="preserve">      承包人：</w:t>
      </w:r>
      <w:r>
        <w:rPr>
          <w:rFonts w:hint="eastAsia" w:ascii="仿宋_GB2312" w:hAnsi="仿宋_GB2312" w:eastAsia="仿宋_GB2312" w:cs="仿宋_GB2312"/>
          <w:color w:val="auto"/>
          <w:highlight w:val="none"/>
          <w:u w:val="single"/>
        </w:rPr>
        <w:t xml:space="preserve">           (公章)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法定地址：</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法定地址：</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法定代表人或其                    法定代表人或其</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委托代理人：</w:t>
      </w:r>
      <w:r>
        <w:rPr>
          <w:rFonts w:hint="eastAsia" w:ascii="仿宋_GB2312" w:hAnsi="仿宋_GB2312" w:eastAsia="仿宋_GB2312" w:cs="仿宋_GB2312"/>
          <w:color w:val="auto"/>
          <w:highlight w:val="none"/>
          <w:u w:val="single"/>
        </w:rPr>
        <w:t xml:space="preserve">          (签字)</w:t>
      </w:r>
      <w:r>
        <w:rPr>
          <w:rFonts w:hint="eastAsia" w:ascii="仿宋_GB2312" w:hAnsi="仿宋_GB2312" w:eastAsia="仿宋_GB2312" w:cs="仿宋_GB2312"/>
          <w:color w:val="auto"/>
          <w:highlight w:val="none"/>
        </w:rPr>
        <w:t xml:space="preserve">      委托代理人：</w:t>
      </w:r>
      <w:r>
        <w:rPr>
          <w:rFonts w:hint="eastAsia" w:ascii="仿宋_GB2312" w:hAnsi="仿宋_GB2312" w:eastAsia="仿宋_GB2312" w:cs="仿宋_GB2312"/>
          <w:color w:val="auto"/>
          <w:highlight w:val="none"/>
          <w:u w:val="single"/>
        </w:rPr>
        <w:t xml:space="preserve">         (签字)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    话：</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电    话：</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传    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传    真：</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电子邮箱：</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电子邮箱：</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开户银行：</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开户银行：</w:t>
      </w:r>
      <w:r>
        <w:rPr>
          <w:rFonts w:hint="eastAsia" w:ascii="仿宋_GB2312" w:hAnsi="仿宋_GB2312" w:eastAsia="仿宋_GB2312" w:cs="仿宋_GB2312"/>
          <w:color w:val="auto"/>
          <w:highlight w:val="none"/>
          <w:u w:val="single"/>
        </w:rPr>
        <w:t xml:space="preserve">                  </w:t>
      </w:r>
    </w:p>
    <w:p>
      <w:pPr>
        <w:topLinePunct/>
        <w:spacing w:line="360" w:lineRule="auto"/>
        <w:ind w:firstLine="600" w:firstLineChars="25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帐    号：</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帐    号：</w:t>
      </w:r>
      <w:r>
        <w:rPr>
          <w:rFonts w:hint="eastAsia" w:ascii="仿宋_GB2312" w:hAnsi="仿宋_GB2312" w:eastAsia="仿宋_GB2312" w:cs="仿宋_GB2312"/>
          <w:color w:val="auto"/>
          <w:highlight w:val="none"/>
          <w:u w:val="single"/>
        </w:rPr>
        <w:t xml:space="preserve">                  </w:t>
      </w:r>
    </w:p>
    <w:p>
      <w:pPr>
        <w:ind w:firstLine="600" w:firstLineChars="250"/>
        <w:rPr>
          <w:rFonts w:hint="eastAsia"/>
          <w:color w:val="auto"/>
          <w:szCs w:val="21"/>
          <w:highlight w:val="none"/>
        </w:rPr>
      </w:pPr>
      <w:r>
        <w:rPr>
          <w:rFonts w:hint="eastAsia" w:ascii="仿宋_GB2312" w:hAnsi="仿宋_GB2312" w:eastAsia="仿宋_GB2312" w:cs="仿宋_GB2312"/>
          <w:color w:val="auto"/>
          <w:highlight w:val="none"/>
        </w:rPr>
        <w:t>邮政编码：</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       邮政编码：</w:t>
      </w:r>
      <w:r>
        <w:rPr>
          <w:rFonts w:hint="eastAsia" w:ascii="仿宋_GB2312" w:hAnsi="仿宋_GB2312" w:eastAsia="仿宋_GB2312" w:cs="仿宋_GB2312"/>
          <w:color w:val="auto"/>
          <w:highlight w:val="none"/>
          <w:u w:val="single"/>
        </w:rPr>
        <w:t xml:space="preserve">                  </w:t>
      </w: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rPr>
          <w:rFonts w:hint="eastAsia"/>
          <w:color w:val="auto"/>
          <w:szCs w:val="21"/>
          <w:highlight w:val="none"/>
        </w:rPr>
      </w:pPr>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附件5：优惠承诺</w:t>
      </w:r>
    </w:p>
    <w:p>
      <w:pPr>
        <w:rPr>
          <w:rFonts w:hint="eastAsia"/>
          <w:color w:val="auto"/>
          <w:szCs w:val="21"/>
          <w:highlight w:val="none"/>
        </w:rPr>
      </w:pPr>
    </w:p>
    <w:p>
      <w:pPr>
        <w:jc w:val="center"/>
        <w:rPr>
          <w:rFonts w:hint="eastAsia"/>
          <w:color w:val="auto"/>
          <w:szCs w:val="21"/>
          <w:highlight w:val="none"/>
        </w:rPr>
      </w:pPr>
    </w:p>
    <w:p>
      <w:pPr>
        <w:spacing w:line="360" w:lineRule="auto"/>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附件6：图纸答疑</w:t>
      </w: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pacing w:line="360" w:lineRule="auto"/>
        <w:rPr>
          <w:rFonts w:hint="eastAsia" w:ascii="仿宋_GB2312" w:eastAsia="仿宋_GB2312"/>
          <w:color w:val="auto"/>
          <w:highlight w:val="none"/>
        </w:rPr>
      </w:pPr>
    </w:p>
    <w:p>
      <w:pPr>
        <w:snapToGrid w:val="0"/>
        <w:spacing w:before="240" w:after="60"/>
        <w:jc w:val="both"/>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snapToGrid w:val="0"/>
        <w:spacing w:before="240" w:after="60"/>
        <w:jc w:val="center"/>
        <w:outlineLvl w:val="0"/>
        <w:rPr>
          <w:rFonts w:hint="eastAsia" w:ascii="仿宋_GB2312" w:hAnsi="仿宋_GB2312" w:eastAsia="仿宋_GB2312"/>
          <w:b/>
          <w:color w:val="auto"/>
          <w:sz w:val="32"/>
          <w:highlight w:val="none"/>
        </w:rPr>
      </w:pPr>
      <w:bookmarkStart w:id="47" w:name="_Toc13483"/>
      <w:r>
        <w:rPr>
          <w:rFonts w:hint="eastAsia" w:ascii="仿宋_GB2312" w:hAnsi="仿宋_GB2312" w:eastAsia="仿宋_GB2312"/>
          <w:b/>
          <w:color w:val="auto"/>
          <w:sz w:val="32"/>
          <w:highlight w:val="none"/>
        </w:rPr>
        <w:t>第五章  工程量清单</w:t>
      </w:r>
      <w:bookmarkEnd w:id="47"/>
    </w:p>
    <w:p>
      <w:pPr>
        <w:pStyle w:val="2"/>
        <w:ind w:left="0" w:leftChars="0" w:firstLine="0" w:firstLineChars="0"/>
        <w:jc w:val="center"/>
        <w:outlineLvl w:val="1"/>
        <w:rPr>
          <w:rFonts w:hint="default" w:ascii="仿宋_GB2312" w:hAnsi="仿宋_GB2312" w:eastAsia="仿宋_GB2312"/>
          <w:b/>
          <w:color w:val="auto"/>
          <w:sz w:val="32"/>
          <w:highlight w:val="none"/>
          <w:lang w:val="en-US" w:eastAsia="zh-CN"/>
        </w:rPr>
      </w:pPr>
      <w:bookmarkStart w:id="48" w:name="_Toc16256"/>
      <w:r>
        <w:rPr>
          <w:rFonts w:hint="eastAsia" w:ascii="仿宋_GB2312" w:hAnsi="仿宋_GB2312" w:eastAsia="仿宋_GB2312" w:cs="仿宋_GB2312"/>
          <w:b/>
          <w:bCs/>
          <w:color w:val="auto"/>
          <w:sz w:val="32"/>
          <w:szCs w:val="32"/>
          <w:highlight w:val="none"/>
        </w:rPr>
        <w:t>（详见系统上传的</w:t>
      </w:r>
      <w:r>
        <w:rPr>
          <w:rFonts w:hint="eastAsia" w:ascii="仿宋_GB2312" w:hAnsi="仿宋_GB2312" w:eastAsia="仿宋_GB2312" w:cs="仿宋_GB2312"/>
          <w:b/>
          <w:bCs/>
          <w:color w:val="auto"/>
          <w:sz w:val="32"/>
          <w:szCs w:val="32"/>
          <w:highlight w:val="none"/>
          <w:lang w:val="en-US" w:eastAsia="zh-CN"/>
        </w:rPr>
        <w:t>电子工程量清单</w:t>
      </w:r>
      <w:r>
        <w:rPr>
          <w:rFonts w:hint="eastAsia" w:ascii="仿宋_GB2312" w:hAnsi="仿宋_GB2312" w:eastAsia="仿宋_GB2312" w:cs="仿宋_GB2312"/>
          <w:b/>
          <w:bCs/>
          <w:color w:val="auto"/>
          <w:sz w:val="32"/>
          <w:szCs w:val="32"/>
          <w:highlight w:val="none"/>
        </w:rPr>
        <w:t>）</w:t>
      </w:r>
      <w:bookmarkEnd w:id="48"/>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pStyle w:val="2"/>
        <w:ind w:left="480" w:firstLine="643"/>
        <w:rPr>
          <w:rFonts w:hint="eastAsia" w:ascii="仿宋_GB2312" w:hAnsi="仿宋_GB2312" w:eastAsia="仿宋_GB2312"/>
          <w:b/>
          <w:color w:val="auto"/>
          <w:sz w:val="32"/>
          <w:highlight w:val="none"/>
        </w:rPr>
      </w:pPr>
    </w:p>
    <w:p>
      <w:pPr>
        <w:snapToGrid w:val="0"/>
        <w:spacing w:before="240" w:after="60"/>
        <w:jc w:val="center"/>
        <w:rPr>
          <w:rFonts w:hint="eastAsia" w:ascii="仿宋_GB2312" w:hAnsi="仿宋_GB2312" w:eastAsia="仿宋_GB2312"/>
          <w:b/>
          <w:color w:val="auto"/>
          <w:sz w:val="32"/>
          <w:highlight w:val="none"/>
        </w:rPr>
      </w:pPr>
    </w:p>
    <w:p>
      <w:pPr>
        <w:pStyle w:val="22"/>
        <w:rPr>
          <w:rFonts w:hint="eastAsia" w:ascii="仿宋_GB2312" w:hAnsi="仿宋_GB2312" w:eastAsia="仿宋_GB2312"/>
          <w:b/>
          <w:color w:val="auto"/>
          <w:sz w:val="32"/>
          <w:highlight w:val="none"/>
        </w:rPr>
      </w:pPr>
    </w:p>
    <w:p>
      <w:pPr>
        <w:pStyle w:val="22"/>
        <w:rPr>
          <w:rFonts w:hint="eastAsia" w:ascii="仿宋_GB2312" w:hAnsi="仿宋_GB2312" w:eastAsia="仿宋_GB2312"/>
          <w:b/>
          <w:color w:val="auto"/>
          <w:sz w:val="32"/>
          <w:highlight w:val="none"/>
        </w:rPr>
      </w:pPr>
    </w:p>
    <w:p>
      <w:pPr>
        <w:pStyle w:val="22"/>
        <w:rPr>
          <w:rFonts w:hint="eastAsia" w:ascii="仿宋_GB2312" w:hAnsi="仿宋_GB2312" w:eastAsia="仿宋_GB2312"/>
          <w:b/>
          <w:color w:val="auto"/>
          <w:sz w:val="32"/>
          <w:highlight w:val="none"/>
        </w:rPr>
      </w:pPr>
    </w:p>
    <w:p>
      <w:pPr>
        <w:pStyle w:val="22"/>
        <w:rPr>
          <w:rFonts w:hint="eastAsia" w:ascii="仿宋_GB2312" w:hAnsi="仿宋_GB2312" w:eastAsia="仿宋_GB2312"/>
          <w:b/>
          <w:color w:val="auto"/>
          <w:sz w:val="32"/>
          <w:highlight w:val="none"/>
        </w:rPr>
      </w:pPr>
    </w:p>
    <w:p>
      <w:pPr>
        <w:pStyle w:val="22"/>
        <w:rPr>
          <w:rFonts w:hint="eastAsia" w:ascii="仿宋_GB2312" w:hAnsi="仿宋_GB2312" w:eastAsia="仿宋_GB2312"/>
          <w:b/>
          <w:color w:val="auto"/>
          <w:sz w:val="32"/>
          <w:highlight w:val="none"/>
        </w:rPr>
      </w:pPr>
    </w:p>
    <w:p>
      <w:pPr>
        <w:snapToGrid w:val="0"/>
        <w:spacing w:before="240" w:after="60"/>
        <w:jc w:val="center"/>
        <w:rPr>
          <w:rFonts w:hint="eastAsia" w:ascii="仿宋_GB2312" w:hAnsi="仿宋_GB2312" w:eastAsia="仿宋_GB2312"/>
          <w:b/>
          <w:color w:val="auto"/>
          <w:sz w:val="32"/>
          <w:highlight w:val="none"/>
        </w:rPr>
      </w:pPr>
    </w:p>
    <w:p>
      <w:pPr>
        <w:snapToGrid w:val="0"/>
        <w:spacing w:before="240" w:after="60"/>
        <w:jc w:val="center"/>
        <w:outlineLvl w:val="0"/>
        <w:rPr>
          <w:rFonts w:hint="eastAsia" w:ascii="仿宋_GB2312" w:hAnsi="仿宋_GB2312" w:eastAsia="仿宋_GB2312"/>
          <w:b/>
          <w:color w:val="auto"/>
          <w:sz w:val="32"/>
          <w:highlight w:val="none"/>
        </w:rPr>
      </w:pPr>
      <w:bookmarkStart w:id="49" w:name="_Toc18357"/>
      <w:r>
        <w:rPr>
          <w:rFonts w:hint="eastAsia" w:ascii="仿宋_GB2312" w:hAnsi="仿宋_GB2312" w:eastAsia="仿宋_GB2312"/>
          <w:b/>
          <w:color w:val="auto"/>
          <w:sz w:val="32"/>
          <w:highlight w:val="none"/>
        </w:rPr>
        <w:t>第六章 图纸</w:t>
      </w:r>
      <w:bookmarkEnd w:id="49"/>
    </w:p>
    <w:p>
      <w:pPr>
        <w:snapToGrid w:val="0"/>
        <w:spacing w:before="120" w:after="120"/>
        <w:jc w:val="center"/>
        <w:rPr>
          <w:rFonts w:hint="eastAsia" w:ascii="仿宋_GB2312" w:hAnsi="仿宋_GB2312" w:eastAsia="仿宋_GB2312"/>
          <w:b/>
          <w:color w:val="auto"/>
          <w:sz w:val="32"/>
          <w:highlight w:val="none"/>
        </w:rPr>
      </w:pPr>
    </w:p>
    <w:p>
      <w:pPr>
        <w:adjustRightInd w:val="0"/>
        <w:spacing w:before="120" w:beforeLines="50" w:after="120" w:afterLines="50"/>
        <w:jc w:val="center"/>
        <w:outlineLvl w:val="1"/>
        <w:rPr>
          <w:rFonts w:hint="eastAsia" w:ascii="仿宋_GB2312" w:hAnsi="仿宋_GB2312" w:eastAsia="仿宋_GB2312" w:cs="仿宋_GB2312"/>
          <w:b/>
          <w:bCs/>
          <w:color w:val="auto"/>
          <w:sz w:val="32"/>
          <w:szCs w:val="32"/>
          <w:highlight w:val="none"/>
        </w:rPr>
      </w:pPr>
      <w:bookmarkStart w:id="50" w:name="_Toc465178353"/>
      <w:bookmarkStart w:id="51" w:name="_Toc24682"/>
      <w:bookmarkStart w:id="52" w:name="_Toc29438"/>
      <w:r>
        <w:rPr>
          <w:rFonts w:hint="eastAsia" w:ascii="仿宋_GB2312" w:hAnsi="仿宋_GB2312" w:eastAsia="仿宋_GB2312" w:cs="仿宋_GB2312"/>
          <w:b/>
          <w:bCs/>
          <w:color w:val="auto"/>
          <w:sz w:val="32"/>
          <w:szCs w:val="32"/>
          <w:highlight w:val="none"/>
        </w:rPr>
        <w:t>（详见系统上传的电子图纸）</w:t>
      </w:r>
      <w:bookmarkEnd w:id="50"/>
      <w:bookmarkEnd w:id="51"/>
      <w:bookmarkEnd w:id="52"/>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pStyle w:val="2"/>
        <w:rPr>
          <w:rFonts w:hint="eastAsia" w:ascii="仿宋_GB2312" w:hAnsi="仿宋_GB2312" w:eastAsia="仿宋_GB2312"/>
          <w:b/>
          <w:color w:val="auto"/>
          <w:sz w:val="32"/>
          <w:highlight w:val="none"/>
        </w:rPr>
      </w:pPr>
    </w:p>
    <w:p>
      <w:pPr>
        <w:snapToGrid w:val="0"/>
        <w:spacing w:before="120" w:after="120"/>
        <w:jc w:val="center"/>
        <w:rPr>
          <w:rFonts w:hint="eastAsia" w:ascii="仿宋_GB2312" w:hAnsi="仿宋_GB2312" w:eastAsia="仿宋_GB2312"/>
          <w:b/>
          <w:color w:val="auto"/>
          <w:sz w:val="32"/>
          <w:highlight w:val="none"/>
        </w:rPr>
      </w:pPr>
    </w:p>
    <w:p>
      <w:pPr>
        <w:numPr>
          <w:ilvl w:val="0"/>
          <w:numId w:val="3"/>
        </w:numPr>
        <w:spacing w:line="360" w:lineRule="auto"/>
        <w:jc w:val="center"/>
        <w:outlineLvl w:val="0"/>
        <w:rPr>
          <w:rFonts w:hint="eastAsia" w:ascii="仿宋_GB2312" w:hAnsi="仿宋_GB2312" w:eastAsia="仿宋_GB2312"/>
          <w:b/>
          <w:color w:val="auto"/>
          <w:sz w:val="32"/>
          <w:highlight w:val="none"/>
        </w:rPr>
      </w:pPr>
      <w:bookmarkStart w:id="53" w:name="_Toc16385"/>
      <w:r>
        <w:rPr>
          <w:rFonts w:hint="eastAsia" w:ascii="仿宋_GB2312" w:hAnsi="仿宋_GB2312" w:eastAsia="仿宋_GB2312"/>
          <w:b/>
          <w:color w:val="auto"/>
          <w:sz w:val="32"/>
          <w:highlight w:val="none"/>
        </w:rPr>
        <w:t>技术标准和要求</w:t>
      </w:r>
      <w:bookmarkEnd w:id="53"/>
    </w:p>
    <w:p>
      <w:pPr>
        <w:spacing w:line="360" w:lineRule="auto"/>
        <w:rPr>
          <w:rFonts w:hint="eastAsia" w:ascii="仿宋_GB2312" w:hAnsi="仿宋_GB2312" w:eastAsia="仿宋_GB2312" w:cs="仿宋_GB2312"/>
          <w:b/>
          <w:color w:val="auto"/>
          <w:highlight w:val="none"/>
        </w:rPr>
      </w:pPr>
    </w:p>
    <w:p>
      <w:pPr>
        <w:spacing w:line="360" w:lineRule="auto"/>
        <w:outlineLvl w:val="1"/>
        <w:rPr>
          <w:rFonts w:hint="eastAsia" w:ascii="仿宋_GB2312" w:hAnsi="仿宋_GB2312" w:eastAsia="仿宋_GB2312" w:cs="仿宋_GB2312"/>
          <w:b/>
          <w:bCs/>
          <w:color w:val="auto"/>
          <w:sz w:val="24"/>
          <w:highlight w:val="none"/>
          <w:lang w:eastAsia="zh-CN"/>
        </w:rPr>
      </w:pPr>
      <w:bookmarkStart w:id="54" w:name="_Toc11020"/>
      <w:r>
        <w:rPr>
          <w:rFonts w:hint="eastAsia" w:ascii="仿宋_GB2312" w:hAnsi="仿宋_GB2312" w:eastAsia="仿宋_GB2312" w:cs="仿宋_GB2312"/>
          <w:b/>
          <w:bCs/>
          <w:color w:val="auto"/>
          <w:sz w:val="24"/>
          <w:highlight w:val="none"/>
          <w:lang w:eastAsia="zh-CN"/>
        </w:rPr>
        <w:t>第一部分：项目名称</w:t>
      </w:r>
      <w:bookmarkEnd w:id="54"/>
    </w:p>
    <w:p>
      <w:pPr>
        <w:spacing w:line="360" w:lineRule="auto"/>
        <w:rPr>
          <w:rFonts w:hint="eastAsia" w:ascii="仿宋_GB2312" w:hAnsi="仿宋_GB2312" w:eastAsia="仿宋_GB2312" w:cs="仿宋_GB2312"/>
          <w:b/>
          <w:bCs/>
          <w:color w:val="auto"/>
          <w:sz w:val="24"/>
          <w:highlight w:val="none"/>
          <w:u w:val="single"/>
          <w:lang w:eastAsia="zh-CN"/>
        </w:rPr>
      </w:pPr>
      <w:r>
        <w:rPr>
          <w:rFonts w:hint="eastAsia" w:ascii="仿宋_GB2312" w:hAnsi="仿宋_GB2312" w:eastAsia="仿宋_GB2312" w:cs="仿宋_GB2312"/>
          <w:color w:val="auto"/>
          <w:sz w:val="24"/>
          <w:highlight w:val="none"/>
          <w:lang w:eastAsia="zh-CN"/>
        </w:rPr>
        <w:t>项目名称：</w:t>
      </w:r>
      <w:r>
        <w:rPr>
          <w:rFonts w:hint="eastAsia" w:ascii="仿宋_GB2312" w:hAnsi="仿宋_GB2312" w:eastAsia="仿宋_GB2312" w:cs="仿宋_GB2312"/>
          <w:b/>
          <w:bCs/>
          <w:color w:val="auto"/>
          <w:sz w:val="24"/>
          <w:highlight w:val="none"/>
          <w:u w:val="single"/>
          <w:lang w:val="en-US" w:eastAsia="zh-CN"/>
        </w:rPr>
        <w:t>华北水利水电大学(花园校区)增容供配电工程</w:t>
      </w:r>
    </w:p>
    <w:p>
      <w:pPr>
        <w:spacing w:line="360" w:lineRule="auto"/>
        <w:outlineLvl w:val="1"/>
        <w:rPr>
          <w:rFonts w:hint="eastAsia" w:ascii="仿宋_GB2312" w:hAnsi="仿宋_GB2312" w:eastAsia="仿宋_GB2312" w:cs="仿宋_GB2312"/>
          <w:b/>
          <w:bCs/>
          <w:color w:val="auto"/>
          <w:sz w:val="24"/>
          <w:highlight w:val="none"/>
          <w:lang w:eastAsia="zh-CN"/>
        </w:rPr>
      </w:pPr>
      <w:bookmarkStart w:id="55" w:name="_Toc30631"/>
      <w:r>
        <w:rPr>
          <w:rFonts w:hint="eastAsia" w:ascii="仿宋_GB2312" w:hAnsi="仿宋_GB2312" w:eastAsia="仿宋_GB2312" w:cs="仿宋_GB2312"/>
          <w:b/>
          <w:bCs/>
          <w:color w:val="auto"/>
          <w:sz w:val="24"/>
          <w:highlight w:val="none"/>
          <w:lang w:eastAsia="zh-CN"/>
        </w:rPr>
        <w:t>第二部分：项目概况</w:t>
      </w:r>
      <w:bookmarkEnd w:id="55"/>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项目概况：按照学校工作安排，拟对我校花园校区配电系统（高低压）进行施工改造。工作主要内容包括：电力增容、校内外高压线路和设备的采购安装调试、校内低压线路和设备的采购安装调试、花园校区配套用电手续的办理等。</w:t>
      </w:r>
    </w:p>
    <w:p>
      <w:pPr>
        <w:spacing w:line="360" w:lineRule="auto"/>
        <w:outlineLvl w:val="1"/>
        <w:rPr>
          <w:rFonts w:hint="eastAsia" w:ascii="仿宋_GB2312" w:hAnsi="仿宋_GB2312" w:eastAsia="仿宋_GB2312" w:cs="仿宋_GB2312"/>
          <w:b/>
          <w:bCs/>
          <w:color w:val="auto"/>
          <w:sz w:val="24"/>
          <w:highlight w:val="none"/>
          <w:lang w:eastAsia="zh-CN"/>
        </w:rPr>
      </w:pPr>
      <w:bookmarkStart w:id="56" w:name="_Toc9999"/>
      <w:r>
        <w:rPr>
          <w:rFonts w:hint="eastAsia" w:ascii="仿宋_GB2312" w:hAnsi="仿宋_GB2312" w:eastAsia="仿宋_GB2312" w:cs="仿宋_GB2312"/>
          <w:b/>
          <w:bCs/>
          <w:color w:val="auto"/>
          <w:sz w:val="24"/>
          <w:highlight w:val="none"/>
          <w:lang w:eastAsia="zh-CN"/>
        </w:rPr>
        <w:t>第三部分：主要设备设施要求</w:t>
      </w:r>
      <w:bookmarkEnd w:id="56"/>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本</w:t>
      </w:r>
      <w:r>
        <w:rPr>
          <w:rFonts w:hint="eastAsia" w:ascii="仿宋_GB2312" w:hAnsi="仿宋_GB2312" w:eastAsia="仿宋_GB2312" w:cs="仿宋_GB2312"/>
          <w:color w:val="auto"/>
          <w:sz w:val="24"/>
          <w:highlight w:val="none"/>
          <w:lang w:eastAsia="zh-CN"/>
        </w:rPr>
        <w:t>项目</w:t>
      </w:r>
      <w:r>
        <w:rPr>
          <w:rFonts w:hint="eastAsia" w:ascii="仿宋_GB2312" w:hAnsi="仿宋_GB2312" w:eastAsia="仿宋_GB2312" w:cs="仿宋_GB2312"/>
          <w:color w:val="auto"/>
          <w:sz w:val="24"/>
          <w:highlight w:val="none"/>
        </w:rPr>
        <w:t>采购的设备主要是供华北水利水电大学（花园校区）增容供配电工程项目所用，主要设备清单如下</w:t>
      </w:r>
      <w:r>
        <w:rPr>
          <w:rFonts w:hint="eastAsia" w:ascii="仿宋_GB2312" w:hAnsi="仿宋_GB2312" w:eastAsia="仿宋_GB2312" w:cs="仿宋_GB2312"/>
          <w:color w:val="auto"/>
          <w:sz w:val="24"/>
          <w:highlight w:val="none"/>
          <w:lang w:eastAsia="zh-CN"/>
        </w:rPr>
        <w:t>（具体以提供的施工图纸为准）：</w:t>
      </w:r>
    </w:p>
    <w:tbl>
      <w:tblPr>
        <w:tblStyle w:val="23"/>
        <w:tblW w:w="9662" w:type="dxa"/>
        <w:jc w:val="center"/>
        <w:tblLayout w:type="fixed"/>
        <w:tblCellMar>
          <w:top w:w="0" w:type="dxa"/>
          <w:left w:w="0" w:type="dxa"/>
          <w:bottom w:w="0" w:type="dxa"/>
          <w:right w:w="0" w:type="dxa"/>
        </w:tblCellMar>
      </w:tblPr>
      <w:tblGrid>
        <w:gridCol w:w="586"/>
        <w:gridCol w:w="2529"/>
        <w:gridCol w:w="653"/>
        <w:gridCol w:w="4199"/>
        <w:gridCol w:w="1695"/>
      </w:tblGrid>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数量</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规格型号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备注</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10KV开关柜AH7</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变压器柜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2</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10KV开关柜AH8</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3</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10KV开关柜AH9</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10KV开关柜AH10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10KV开关柜BH10</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6</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10KV开关柜BH11</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7</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10KV开关柜BH12</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8</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10KV开关柜BH13</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XGN-12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9</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0.4KV低压柜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GCS-01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电源进线柜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0.4KV低压柜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GCS-34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电容补偿柜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11</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0.4KV低压柜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GCS-11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12</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0.4KV低压柜</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15面</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GCS</w:t>
            </w:r>
            <w:r>
              <w:rPr>
                <w:rFonts w:hint="eastAsia" w:ascii="仿宋_GB2312" w:hAnsi="仿宋_GB2312" w:eastAsia="仿宋_GB2312" w:cs="仿宋_GB2312"/>
                <w:color w:val="auto"/>
                <w:kern w:val="0"/>
                <w:sz w:val="24"/>
                <w:szCs w:val="24"/>
                <w:highlight w:val="none"/>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馈线柜</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13</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干式变压器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1台</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SCB10-500kVA/10/0.4kV,Dyn11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干式变压器</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14</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箱式变压器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1台</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S11-M-500kVA/10kV/0.4kV D.yn11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油浸式变压器</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rPr>
              <w:t>15</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箱式变压器</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4台</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S11-M-630kVA/10kV/0.4kV D.yn11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油浸式变压器</w:t>
            </w:r>
          </w:p>
        </w:tc>
      </w:tr>
      <w:tr>
        <w:tblPrEx>
          <w:tblCellMar>
            <w:top w:w="0" w:type="dxa"/>
            <w:left w:w="0" w:type="dxa"/>
            <w:bottom w:w="0" w:type="dxa"/>
            <w:right w:w="0" w:type="dxa"/>
          </w:tblCellMar>
        </w:tblPrEx>
        <w:trPr>
          <w:trHeight w:val="270" w:hRule="atLeast"/>
          <w:jc w:val="center"/>
        </w:trPr>
        <w:tc>
          <w:tcPr>
            <w:tcW w:w="5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6</w:t>
            </w:r>
          </w:p>
        </w:tc>
        <w:tc>
          <w:tcPr>
            <w:tcW w:w="2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配电箱</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left"/>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17台</w:t>
            </w:r>
          </w:p>
        </w:tc>
        <w:tc>
          <w:tcPr>
            <w:tcW w:w="41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left"/>
              <w:rPr>
                <w:rFonts w:ascii="仿宋_GB2312" w:hAnsi="仿宋_GB2312" w:eastAsia="仿宋_GB2312" w:cs="仿宋_GB2312"/>
                <w:color w:val="auto"/>
                <w:sz w:val="24"/>
                <w:szCs w:val="24"/>
                <w:highlight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jc w:val="center"/>
              <w:textAlignment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空调配电总箱</w:t>
            </w:r>
          </w:p>
        </w:tc>
      </w:tr>
    </w:tbl>
    <w:p>
      <w:pPr>
        <w:spacing w:line="360" w:lineRule="auto"/>
        <w:rPr>
          <w:rFonts w:hint="eastAsia" w:ascii="仿宋_GB2312" w:hAnsi="仿宋_GB2312" w:eastAsia="仿宋_GB2312" w:cs="仿宋_GB2312"/>
          <w:b/>
          <w:bCs/>
          <w:color w:val="auto"/>
          <w:sz w:val="24"/>
          <w:highlight w:val="none"/>
        </w:rPr>
      </w:pP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技术标准及要求</w:t>
      </w:r>
    </w:p>
    <w:p>
      <w:pPr>
        <w:numPr>
          <w:ilvl w:val="0"/>
          <w:numId w:val="4"/>
        </w:num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图纸中标明的主要高低压元器件技术参数。</w:t>
      </w:r>
    </w:p>
    <w:p>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（一）设备材料及施工须满足施工图纸及本招标文件的要求。</w:t>
      </w:r>
    </w:p>
    <w:p>
      <w:pPr>
        <w:spacing w:line="360" w:lineRule="auto"/>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（二）施工依据：要求执行以下但不限于以下所列规范、标准、文件的最新版本：</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GB50052-2009《供配电系统设计规范》</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GB50054-2011《低压配电设计规范》</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CECS115：2000《干式电力变压器选用、验收、运行及维护规程》</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JGJ/T16-2008《民用建筑电气设计规范》</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GB50062-2008《电力装置的继电保护和自动装置设计规范》</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CECS107:2000《终端电气选用及验收教程》</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GB50055-2011《通用用电设备配电设计规范》</w:t>
      </w:r>
    </w:p>
    <w:p>
      <w:pPr>
        <w:spacing w:line="360" w:lineRule="auto"/>
        <w:ind w:left="0" w:leftChars="0" w:firstLine="638" w:firstLineChars="266"/>
        <w:rPr>
          <w:rFonts w:hint="eastAsia" w:ascii="仿宋_GB2312" w:hAnsi="仿宋_GB2312" w:eastAsia="仿宋_GB2312" w:cs="仿宋_GB2312"/>
          <w:color w:val="auto"/>
          <w:sz w:val="24"/>
          <w:szCs w:val="32"/>
          <w:highlight w:val="none"/>
        </w:rPr>
      </w:pPr>
      <w:r>
        <w:rPr>
          <w:rFonts w:hint="eastAsia" w:ascii="仿宋_GB2312" w:hAnsi="仿宋_GB2312" w:eastAsia="仿宋_GB2312" w:cs="仿宋_GB2312"/>
          <w:color w:val="auto"/>
          <w:sz w:val="24"/>
          <w:szCs w:val="32"/>
          <w:highlight w:val="none"/>
        </w:rPr>
        <w:t>GB50171-2012《电气装置安装工程盘、柜及二次回路接线施工及验收规范》</w:t>
      </w:r>
    </w:p>
    <w:p>
      <w:pPr>
        <w:spacing w:line="360" w:lineRule="auto"/>
        <w:ind w:left="0" w:leftChars="0" w:firstLine="638" w:firstLineChars="266"/>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szCs w:val="32"/>
          <w:highlight w:val="none"/>
        </w:rPr>
        <w:t>GB/T17467-2010《高压/低压预装式变电站》以上技术标准按国家最新执行</w:t>
      </w:r>
      <w:r>
        <w:rPr>
          <w:rFonts w:hint="eastAsia" w:ascii="仿宋_GB2312" w:hAnsi="仿宋_GB2312" w:eastAsia="仿宋_GB2312" w:cs="仿宋_GB2312"/>
          <w:color w:val="auto"/>
          <w:highlight w:val="none"/>
        </w:rPr>
        <w:t>。</w:t>
      </w:r>
    </w:p>
    <w:p>
      <w:pPr>
        <w:spacing w:line="360" w:lineRule="auto"/>
        <w:ind w:left="-29" w:leftChars="-95" w:hanging="199" w:hangingChars="83"/>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highlight w:val="none"/>
          <w:lang w:val="en-US" w:eastAsia="zh-CN"/>
        </w:rPr>
        <w:t xml:space="preserve"> </w:t>
      </w:r>
      <w:r>
        <w:rPr>
          <w:rFonts w:hint="eastAsia" w:ascii="仿宋_GB2312" w:hAnsi="仿宋_GB2312" w:eastAsia="仿宋_GB2312" w:cs="仿宋_GB2312"/>
          <w:color w:val="auto"/>
          <w:sz w:val="24"/>
          <w:highlight w:val="none"/>
        </w:rPr>
        <w:t>本次采购设备的所有技术要求除了满足以下要求外，还应满足设计院设计的图纸要求。</w:t>
      </w:r>
    </w:p>
    <w:p>
      <w:pPr>
        <w:spacing w:line="360" w:lineRule="auto"/>
        <w:ind w:left="0" w:leftChars="0" w:firstLine="0" w:firstLineChars="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本项目具体技术要求</w:t>
      </w:r>
      <w:r>
        <w:rPr>
          <w:rFonts w:hint="eastAsia" w:ascii="仿宋_GB2312" w:hAnsi="仿宋_GB2312" w:eastAsia="仿宋_GB2312" w:cs="仿宋_GB2312"/>
          <w:color w:val="auto"/>
          <w:sz w:val="24"/>
          <w:highlight w:val="none"/>
          <w:lang w:eastAsia="zh-CN"/>
        </w:rPr>
        <w:t>：</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1. 高压开关柜：</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 高压开关柜及组件基本技术参数：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1.1.1 额定电压：10kV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1.1.2 最高工作电压：12kV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1.1.3 额定开断电流：按施工设计图纸要求</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1.1.4 开关柜型号：</w:t>
      </w:r>
      <w:r>
        <w:rPr>
          <w:rFonts w:hint="eastAsia" w:ascii="仿宋_GB2312" w:hAnsi="仿宋_GB2312" w:eastAsia="仿宋_GB2312" w:cs="仿宋_GB2312"/>
          <w:color w:val="auto"/>
          <w:sz w:val="24"/>
          <w:highlight w:val="none"/>
          <w:lang w:val="en-US" w:eastAsia="zh-CN"/>
        </w:rPr>
        <w:t>XGN-12</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1.1.5 额定电流：按施工设计图纸要求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1.1.6 额定绝缘水平：</w:t>
      </w:r>
    </w:p>
    <w:tbl>
      <w:tblPr>
        <w:tblStyle w:val="2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644" w:type="dxa"/>
            <w:gridSpan w:val="2"/>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柜体及柜内设备的１min</w:t>
            </w:r>
          </w:p>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工频耐压值（kV）</w:t>
            </w:r>
          </w:p>
        </w:tc>
        <w:tc>
          <w:tcPr>
            <w:tcW w:w="4644" w:type="dxa"/>
            <w:gridSpan w:val="2"/>
          </w:tcPr>
          <w:p>
            <w:pPr>
              <w:widowControl w:val="0"/>
              <w:spacing w:line="360" w:lineRule="auto"/>
              <w:jc w:val="both"/>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柜体及柜内设备绝缘的冲击耐压峰值（kV）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322" w:type="dxa"/>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主绝缘对地</w:t>
            </w:r>
          </w:p>
        </w:tc>
        <w:tc>
          <w:tcPr>
            <w:tcW w:w="2322" w:type="dxa"/>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隔离断口间的绝缘</w:t>
            </w:r>
          </w:p>
        </w:tc>
        <w:tc>
          <w:tcPr>
            <w:tcW w:w="2322" w:type="dxa"/>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主绝缘对地</w:t>
            </w:r>
          </w:p>
        </w:tc>
        <w:tc>
          <w:tcPr>
            <w:tcW w:w="2322" w:type="dxa"/>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隔离断口间的绝缘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322" w:type="dxa"/>
            <w:vAlign w:val="center"/>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w:t>
            </w:r>
          </w:p>
        </w:tc>
        <w:tc>
          <w:tcPr>
            <w:tcW w:w="2322" w:type="dxa"/>
            <w:vAlign w:val="center"/>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49</w:t>
            </w:r>
          </w:p>
        </w:tc>
        <w:tc>
          <w:tcPr>
            <w:tcW w:w="2322" w:type="dxa"/>
            <w:vAlign w:val="center"/>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75</w:t>
            </w:r>
          </w:p>
        </w:tc>
        <w:tc>
          <w:tcPr>
            <w:tcW w:w="2322" w:type="dxa"/>
            <w:vAlign w:val="center"/>
          </w:tcPr>
          <w:p>
            <w:pPr>
              <w:widowControl w:val="0"/>
              <w:spacing w:line="360" w:lineRule="auto"/>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85</w:t>
            </w:r>
          </w:p>
        </w:tc>
      </w:tr>
    </w:tbl>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绝缘件的爬电比距≥2cm/kV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1.1.7 母线为空气绝缘，柜内各相导体的相间与地净距必须满足下列要求：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（a）导体至接地间净距： ≥125mm</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（b）不同相的导体之间净距: ≥125mm</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1.1.8 导体与导体，导体与柜体的绝缘水平应符合规程要求，相间及对地空气绝缘距离≮125mm，复合绝缘空气间隙≮30mm，开关断口寿命绝缘为 42kV。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1.1.9 连锁功能：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a.高压开关柜应具备防止误分、合断路器；b.防止带负荷分、合隔离开关或隔离插头；c.防止带接地刀（或接地线）送电；d. 防止带电合接地刀（或挂接地线）；e.防止误入带电隔室</w:t>
      </w:r>
    </w:p>
    <w:p>
      <w:pPr>
        <w:spacing w:line="360" w:lineRule="auto"/>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1.1.10 操作机构应保证灵活可靠</w:t>
      </w:r>
      <w:r>
        <w:rPr>
          <w:rFonts w:hint="eastAsia" w:ascii="仿宋_GB2312" w:hAnsi="仿宋_GB2312" w:eastAsia="仿宋_GB2312" w:cs="仿宋_GB2312"/>
          <w:color w:val="auto"/>
          <w:sz w:val="24"/>
          <w:highlight w:val="none"/>
          <w:lang w:eastAsia="zh-CN"/>
        </w:rPr>
        <w:t>。</w:t>
      </w:r>
    </w:p>
    <w:p>
      <w:pPr>
        <w:spacing w:line="360" w:lineRule="auto"/>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 xml:space="preserve">1.2 </w:t>
      </w:r>
      <w:r>
        <w:rPr>
          <w:rFonts w:hint="eastAsia" w:ascii="仿宋_GB2312" w:hAnsi="仿宋_GB2312" w:eastAsia="仿宋_GB2312" w:cs="仿宋_GB2312"/>
          <w:color w:val="auto"/>
          <w:sz w:val="24"/>
          <w:highlight w:val="none"/>
        </w:rPr>
        <w:t>高压真空断路器技术参数：</w:t>
      </w:r>
    </w:p>
    <w:p>
      <w:pPr>
        <w:spacing w:line="360" w:lineRule="auto"/>
        <w:rPr>
          <w:rFonts w:ascii="仿宋_GB2312" w:hAnsi="仿宋_GB2312" w:eastAsia="仿宋_GB2312" w:cs="仿宋_GB2312"/>
          <w:b w:val="0"/>
          <w:bCs w:val="0"/>
          <w:strike w:val="0"/>
          <w:color w:val="auto"/>
          <w:sz w:val="24"/>
          <w:highlight w:val="none"/>
        </w:rPr>
      </w:pPr>
      <w:r>
        <w:rPr>
          <w:rFonts w:hint="eastAsia" w:ascii="仿宋_GB2312" w:hAnsi="仿宋_GB2312" w:eastAsia="仿宋_GB2312" w:cs="仿宋_GB2312"/>
          <w:b w:val="0"/>
          <w:bCs w:val="0"/>
          <w:strike w:val="0"/>
          <w:color w:val="auto"/>
          <w:sz w:val="24"/>
          <w:highlight w:val="none"/>
        </w:rPr>
        <w:t>真空断路器</w:t>
      </w:r>
      <w:r>
        <w:rPr>
          <w:rFonts w:hint="eastAsia" w:ascii="仿宋_GB2312" w:hAnsi="仿宋_GB2312" w:eastAsia="仿宋_GB2312" w:cs="仿宋_GB2312"/>
          <w:b w:val="0"/>
          <w:bCs w:val="0"/>
          <w:strike w:val="0"/>
          <w:color w:val="auto"/>
          <w:sz w:val="24"/>
          <w:highlight w:val="none"/>
          <w:lang w:val="en-US" w:eastAsia="zh-CN"/>
        </w:rPr>
        <w:t>需</w:t>
      </w:r>
      <w:r>
        <w:rPr>
          <w:rFonts w:hint="eastAsia" w:ascii="仿宋_GB2312" w:hAnsi="仿宋_GB2312" w:eastAsia="仿宋_GB2312" w:cs="仿宋_GB2312"/>
          <w:b w:val="0"/>
          <w:bCs w:val="0"/>
          <w:strike w:val="0"/>
          <w:color w:val="auto"/>
          <w:sz w:val="24"/>
          <w:highlight w:val="none"/>
        </w:rPr>
        <w:t>提供相应产品检测报告。</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额定电压：12kV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额定电流：按施工设计图纸要求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额定短路开断电流（有效值）：主进 31.5kA，馈线 25kA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额定短路关合电流（峰值不小于）：</w:t>
      </w:r>
      <w:r>
        <w:rPr>
          <w:rFonts w:hint="eastAsia" w:ascii="仿宋_GB2312" w:hAnsi="仿宋_GB2312" w:eastAsia="仿宋_GB2312" w:cs="仿宋_GB2312"/>
          <w:color w:val="auto"/>
          <w:sz w:val="24"/>
          <w:highlight w:val="none"/>
          <w:lang w:val="en-US" w:eastAsia="zh-CN"/>
        </w:rPr>
        <w:t>63</w:t>
      </w:r>
      <w:r>
        <w:rPr>
          <w:rFonts w:hint="eastAsia" w:ascii="仿宋_GB2312" w:hAnsi="仿宋_GB2312" w:eastAsia="仿宋_GB2312" w:cs="仿宋_GB2312"/>
          <w:color w:val="auto"/>
          <w:sz w:val="24"/>
          <w:highlight w:val="none"/>
        </w:rPr>
        <w:t>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额定峰值耐受电流（峰值不小于）：</w:t>
      </w:r>
      <w:r>
        <w:rPr>
          <w:rFonts w:hint="eastAsia" w:ascii="仿宋_GB2312" w:hAnsi="仿宋_GB2312" w:eastAsia="仿宋_GB2312" w:cs="仿宋_GB2312"/>
          <w:color w:val="auto"/>
          <w:sz w:val="24"/>
          <w:highlight w:val="none"/>
          <w:lang w:val="en-US" w:eastAsia="zh-CN"/>
        </w:rPr>
        <w:t>63</w:t>
      </w:r>
      <w:r>
        <w:rPr>
          <w:rFonts w:hint="eastAsia" w:ascii="仿宋_GB2312" w:hAnsi="仿宋_GB2312" w:eastAsia="仿宋_GB2312" w:cs="仿宋_GB2312"/>
          <w:color w:val="auto"/>
          <w:sz w:val="24"/>
          <w:highlight w:val="none"/>
        </w:rPr>
        <w:t>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额定短时耐受电流（有效值、4s）：主进 31.5 kA，馈线 25kA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额定短时工频耐压（1min、有效值）：42kV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操动机构型式： 一体化的弹簧操作机构，且弹簧储能机构应是模块化，通用型的机构，</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操动机构及控制回路电压：DC220V</w:t>
      </w:r>
    </w:p>
    <w:p>
      <w:pPr>
        <w:spacing w:line="360" w:lineRule="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b w:val="0"/>
          <w:bCs w:val="0"/>
          <w:strike w:val="0"/>
          <w:color w:val="auto"/>
          <w:sz w:val="24"/>
          <w:highlight w:val="none"/>
        </w:rPr>
        <w:t>真空断路器</w:t>
      </w:r>
      <w:r>
        <w:rPr>
          <w:rFonts w:hint="eastAsia" w:ascii="仿宋_GB2312" w:hAnsi="仿宋_GB2312" w:eastAsia="仿宋_GB2312" w:cs="仿宋_GB2312"/>
          <w:b w:val="0"/>
          <w:bCs w:val="0"/>
          <w:strike w:val="0"/>
          <w:color w:val="auto"/>
          <w:sz w:val="24"/>
          <w:highlight w:val="none"/>
          <w:lang w:val="en-US" w:eastAsia="zh-CN"/>
        </w:rPr>
        <w:t>需选用一线品牌，与低压断路器同品牌便于后期维护。</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 接地开关技术参数：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额定电压</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10kV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最高工作电压：12kV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额定雷电冲击耐受电压（峰值）相对地、相间：75kV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额定短时工频耐受电压（1min、有效值）相对地、相间：42kV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额定动稳定电流（峰值）：80kA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额定热稳定电流（有效值、4s）：31.5kA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操动机构型式：手动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 电流互感器技术参数：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额定电压：10kV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最高工作电压：12kV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变比、准确等级及额定容量： 详见一次施工图</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 电压互感器技术参数：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型式：全绝缘</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线圈变比、准确等级及额定容量： 详见一次施工图</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雷电冲击电压（峰值）：75kV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1min 工频耐受电压：</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一次绕组（有效值）：42kV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二次绕组（有效值）：3kV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 避雷器技术参数：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避雷器额定电压：17kV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额定频率：50Hz</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持续运行电压</w:t>
      </w:r>
      <w:r>
        <w:rPr>
          <w:rFonts w:hint="eastAsia" w:ascii="仿宋_GB2312" w:hAnsi="仿宋_GB2312" w:eastAsia="仿宋_GB2312" w:cs="仿宋_GB2312"/>
          <w:color w:val="auto"/>
          <w:sz w:val="24"/>
          <w:highlight w:val="none"/>
          <w:lang w:val="en-US" w:eastAsia="zh-CN"/>
        </w:rPr>
        <w:t>:</w:t>
      </w:r>
      <w:r>
        <w:rPr>
          <w:rFonts w:hint="eastAsia" w:ascii="仿宋_GB2312" w:hAnsi="仿宋_GB2312" w:eastAsia="仿宋_GB2312" w:cs="仿宋_GB2312"/>
          <w:color w:val="auto"/>
          <w:sz w:val="24"/>
          <w:highlight w:val="none"/>
        </w:rPr>
        <w:t>13.6kV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标称放电电流：5kA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1mA 直流参考电压（不小于）：24kV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陡波冲击电流下残压（峰值 不大于）：51.8kV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雷电冲击电流下残压（峰值 不大于）：45kV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操作冲击电流下残压（峰值 不大于）：38.3kV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2ms 方波电流：400A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 结构要求：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1.7.1 开关柜形式: 中置式铠装金属封闭开关设备(配真空断路器)，开关柜体采用敷铝锌钢板，钢板厚度不低于 </w:t>
      </w:r>
      <w:r>
        <w:rPr>
          <w:rFonts w:hint="eastAsia" w:ascii="仿宋_GB2312" w:hAnsi="仿宋_GB2312" w:eastAsia="仿宋_GB2312" w:cs="仿宋_GB2312"/>
          <w:color w:val="auto"/>
          <w:sz w:val="24"/>
          <w:highlight w:val="none"/>
          <w:lang w:val="en-US" w:eastAsia="zh-CN"/>
        </w:rPr>
        <w:t>2mm</w:t>
      </w:r>
      <w:r>
        <w:rPr>
          <w:rFonts w:hint="eastAsia" w:ascii="仿宋_GB2312" w:hAnsi="仿宋_GB2312" w:eastAsia="仿宋_GB2312" w:cs="仿宋_GB2312"/>
          <w:color w:val="auto"/>
          <w:sz w:val="24"/>
          <w:highlight w:val="none"/>
        </w:rPr>
        <w:t>，并进行表面喷粉，外观平整圆滑，柜体严实。</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1.7.2 高压开关柜的结构应保证工作人员的安全和便于运行、维护、检查、检修和试验。</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1.7.3 母线室每间隔应互相封闭，母线用穿芯绝缘套管连通；高压开关柜主母线采用铜母线全部应套上热缩绝缘套管。引下线应热缩绝缘护套管。</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1.7.4 高压开关柜的压力释放通道上口外端不应用钢丝网或易脱丝的金属封闭来提高防护等级，而应用能满足防护等级要求的百叶窗式或防爆膜。</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1.7.5 沿所有高压开关柜整体长度方向设有专用的接地导体，并有明显的接地标志。接地线采用不小于120mm </w:t>
      </w:r>
      <w:r>
        <w:rPr>
          <w:rFonts w:hint="eastAsia" w:ascii="仿宋_GB2312" w:hAnsi="仿宋_GB2312" w:eastAsia="仿宋_GB2312" w:cs="仿宋_GB2312"/>
          <w:color w:val="auto"/>
          <w:sz w:val="28"/>
          <w:szCs w:val="28"/>
          <w:highlight w:val="none"/>
          <w:vertAlign w:val="superscript"/>
        </w:rPr>
        <w:t>2</w:t>
      </w:r>
      <w:r>
        <w:rPr>
          <w:rFonts w:hint="eastAsia" w:ascii="仿宋_GB2312" w:hAnsi="仿宋_GB2312" w:eastAsia="仿宋_GB2312" w:cs="仿宋_GB2312"/>
          <w:color w:val="auto"/>
          <w:sz w:val="24"/>
          <w:highlight w:val="none"/>
        </w:rPr>
        <w:t xml:space="preserve"> 的铜排。</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1.7.6 高压开关柜应具有可靠防误闭锁功能（五防功能）。柜门应预留安装闭锁挂锁的位置。</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1.7.7 高压开关柜内辅助回路的导线应采用的截面为：电压回路不小于 1.5mm </w:t>
      </w:r>
      <w:r>
        <w:rPr>
          <w:rFonts w:hint="eastAsia" w:ascii="仿宋_GB2312" w:hAnsi="仿宋_GB2312" w:eastAsia="仿宋_GB2312" w:cs="仿宋_GB2312"/>
          <w:color w:val="auto"/>
          <w:sz w:val="24"/>
          <w:highlight w:val="none"/>
          <w:vertAlign w:val="superscript"/>
        </w:rPr>
        <w:t>2</w:t>
      </w:r>
      <w:r>
        <w:rPr>
          <w:rFonts w:hint="eastAsia" w:ascii="仿宋_GB2312" w:hAnsi="仿宋_GB2312" w:eastAsia="仿宋_GB2312" w:cs="仿宋_GB2312"/>
          <w:color w:val="auto"/>
          <w:sz w:val="24"/>
          <w:highlight w:val="none"/>
        </w:rPr>
        <w:t xml:space="preserve"> ，电流回路不小于 2.5mm</w:t>
      </w:r>
      <w:r>
        <w:rPr>
          <w:rFonts w:hint="eastAsia" w:ascii="仿宋_GB2312" w:hAnsi="仿宋_GB2312" w:eastAsia="仿宋_GB2312" w:cs="仿宋_GB2312"/>
          <w:color w:val="auto"/>
          <w:sz w:val="24"/>
          <w:highlight w:val="none"/>
          <w:vertAlign w:val="superscript"/>
        </w:rPr>
        <w:t xml:space="preserve"> 2</w:t>
      </w:r>
      <w:r>
        <w:rPr>
          <w:rFonts w:hint="eastAsia" w:ascii="仿宋_GB2312" w:hAnsi="仿宋_GB2312" w:eastAsia="仿宋_GB2312" w:cs="仿宋_GB2312"/>
          <w:color w:val="auto"/>
          <w:sz w:val="24"/>
          <w:highlight w:val="none"/>
        </w:rPr>
        <w:t>的铜导线。</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1.7.8 柜体面板上必须加装分、合闸指示和开关位置指示，合闸电源和控制电源进线均采用空气开关接入。</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1.7.9 外壳及隔板的防护等级</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IP4X，隔室间断路器室门打开为IP2X。</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 微机综合继电保护装置技术要求：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 主要具有以下保护功能：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1)反映一次负荷电流的4~20mA电流输出，并且该4~20mA输出电流与一次负荷电流的大小呈线性关系。留有1路模拟量信号输出；</w:t>
      </w:r>
      <w:r>
        <w:rPr>
          <w:rFonts w:hint="eastAsia" w:ascii="仿宋_GB2312" w:hAnsi="仿宋_GB2312" w:eastAsia="仿宋_GB2312" w:cs="仿宋_GB2312"/>
          <w:color w:val="auto"/>
          <w:sz w:val="24"/>
          <w:highlight w:val="none"/>
          <w:lang w:eastAsia="zh-CN"/>
        </w:rPr>
        <w:t>可选择</w:t>
      </w:r>
      <w:r>
        <w:rPr>
          <w:rFonts w:hint="eastAsia" w:ascii="仿宋_GB2312" w:hAnsi="仿宋_GB2312" w:eastAsia="仿宋_GB2312" w:cs="仿宋_GB2312"/>
          <w:color w:val="auto"/>
          <w:sz w:val="24"/>
          <w:highlight w:val="none"/>
          <w:lang w:val="en-US" w:eastAsia="zh-CN"/>
        </w:rPr>
        <w:t>1到2路直流量输入。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保护装置应能实时测量多种电气量，支持电能质量分析，模拟量采集及测量：三相电压、三相电流、零序电流、有功功率、无功功率、功率因数、视在功率、频率、正负序电压电流、四象线电能。保护需带2-31次谐波测量.且具备SOE事件记录和运行报告记录，SOE事件记录需达999条及以上，动作报告999条及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保护装置应具有故障录波功能，可记录保护动作前后共50个周波的采样数据，能就地液晶界面显示就地显示故障录波。装置应自动实行顺序记录，并能及时处理和存储各保护的报警信息和动作信息，在主机失电时不丢失所存储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保护装置应采用中文液晶显示方式,人机界面友好，产品按键操作自动适应不同人操作习惯。信息详细直观，操作、调试方便。保护功能不依赖通讯网，网络瘫痪与否不影响保护的正常运行。保护要求动作时间30ms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5)保护装置至少应具有两种（Modbus、以太网）及以上的现场总线通讯方式供用户选择，综保通讯规约具备103规约。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)保护装置配置完整的断路器操作及外部输入跳闸接口，其保护装置内部的所有继电器全部采用高可靠性优质产品。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）保护装置应具有电度测量功能，并通过上述现场总线通讯方式上传至电气监控管理系统。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）装置具有自复位功能，当软件工作不正常时能通过自复位电路自动恢复正常工作。</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 后台监控系统要求：</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主要设备为性能优秀的计算机，GPS 时钟、EPS 电源等设备，可以实时、准确、有效地完成对监视对象的安全监视。其主要功能如下：</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1.9.1数据采集与处理</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通过间隔层单元采集来自生产过程的模拟量、数字量及温度量等，生产过程设备包括 CT、PT、配电装置保护、直流系统、所用电系统等。对所采集的输入量进行数字滤波，有效性检查，工程值转换、故障判断、信号接点抖动消除、刻度计算等加工。从而产生出可供应用的电流、电压、有功功率、无功功率、电度、功率因数等各种实时数据，供数据库更新。系统形成分布式的数据库结构，在就地控制单元中保留本地处理的各种实时数据。</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1.9.2统计计算</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对实时数据进行统计、分析、计算，例如通过计算产生电压合格率、有功、无功、电流、总负荷、功率因数、电量日／月／年最大值／最小值及出现的时间、日期、负荷率、电能分时段累计值、数字输入状态量逻辑运算值等，设备正常／异常变位次数并加以区分等，并提供一些标准计算函数，用来产生用户可定义的虚拟测点进行平均值、积分值和其它计算统计。</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1.9.3画面显示</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过主机的彩色液晶显示器和人机联系工具显示变电站各种信息画面，显示内容主要包括全部设备的位置状态、变位信息、保护设备动作及复归信息、直流系统及所用电系统的信息、各测量值的实时数据，各种告警信息、计算机监控系统的状态信息。</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在需要分区显示的画面中，可按要求分为：过程画面区、提示信息区、报警信息区，各区以相互不干扰的方式同步显示信息。</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显示画面可由用户在线以交互式进行修改、定义、编辑、生成、删除。</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画面显示的形式：显示器上显示的各种信息以报告、图形、声光等形式及时提供给运行人员。</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1.9.4打印记录</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记录功能指计算机站控系统通过打印机将各种要求的信息按指定的格式输出到打印纸上。</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1.9.5事件顺序记录</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事件顺序记录的内容为事故状态变化的快速记录，时间分辨率不大于3毫秒，并按要求的报告形式打印输出，同时在事件记录数据库中保存。</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1.9.6报警处理</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报警处理分两种方式，一种是事故报警，另一种是预告报警。前者包括非操作引起的断路器跳闸和保护装置动作信号。后者包括一般设备变位、状态异常信息、模拟量越限／复限、计算机站控系统的各个部件、间隔层单元的状态异常等。</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1.9.7管理功能</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管理功能主要是一些设备工况报告、设备档案的编制和调用。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1.9.8控制功能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1.9.9 操作权限</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具有操作权限等级管理，当输入正确操作口令和监护口令才有权进行操作控制，参数修改，并将信息给予记录。并具有记录操作修改人，操作修改内容的功能。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1.9.10 信息分层</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站控单元具有信息分层功能，并能将信息分类、归并。</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1.9.11 远方信息交换:</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自动化系统能够实现与远方调度中心的信息交换，即与调度部门通信,具体的功能已在有关章节描述。</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1.9.12 时钟同步:</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自动化系统在控制室接收全球卫星定位系统（GPS）的标准授时信号，对各间隔单元及站级计算机等具有时钟的设备进行同步的时钟校对，保征各部件时钟同步率达到精度要求。当GPS系统故障时，可实现与调度端的时钟同步。</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1.9.13 与其他设备的接口</w:t>
      </w:r>
    </w:p>
    <w:p>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综合自动化系统具备与甲方配置的其他设备的接口能力，接口问题由综合自动化系统负责解决</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2. 低压开关柜：</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一次元件配置原则：</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 进线回路及分段断路器选用框架式断路器(其中，分段断路器带智能脱扣器)，详见配置接线施工图。</w:t>
      </w:r>
    </w:p>
    <w:p>
      <w:pPr>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框架断路器：额定工作电压Ue(V)：AC690V；额定绝缘电压Ui(V)：1000V；额定冲击耐受电压Uimp(kV)：12kV；额定运行分断能力AC415V： (Ics)=100%(Icu)=（Icw） ≧50KA；框架断路器应具有过载长延时、短路短延时、短路瞬时、接地故障保护功能，可以在断路器正面方便地进行定值整定或功能调整。</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 馈线回路选用塑壳断路器，详见配置接线施工图。</w:t>
      </w:r>
    </w:p>
    <w:p>
      <w:pPr>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塑壳断路器：额定工作电压 Ue(V)：AC690V；额定绝缘电压 Ui(V)：800V；额定冲击耐受电压 Uimp(kV)：8kV；额定运行分断能力AC415V： (Ics)=100%(Icu) ≧50KA；断路器具备附件盒装化功能，即能方便加装各种附件（如分励脱扣器、辅助触头、报警触头），而无需改变断路器结构和低压开关柜结构。</w:t>
      </w:r>
    </w:p>
    <w:p>
      <w:pPr>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脱扣器：现场可实现热磁可调，过载保护（热保护）整定值Ir1=(0.8-0.9-1.0)In,短路保护（磁保护）整定值Ir3=（5-10）In</w:t>
      </w:r>
    </w:p>
    <w:p>
      <w:pPr>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断路器全系列双断点结构, 跳闸后面板上可以直观区分故障类型（过载或短路），便于用户快速处理。</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 柜架和外壳：</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2.2.1 设备的柜架为垂直地面安装的自撑式结构。</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2.2.2 柜架和外壳应有足够的强度和刚度，应能承受所安装元件及短路进所产生的动、热稳定。同时不因成套设备的吊装、运输等情况而影响设备的性能。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2.2.3 外壳防护等级应不低于 IP4X。</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2.2.4 柜体的壳体钢板为镀锌钢板，厚度应不低于2</w:t>
      </w:r>
      <w:r>
        <w:rPr>
          <w:rFonts w:hint="eastAsia" w:ascii="仿宋_GB2312" w:hAnsi="仿宋_GB2312" w:eastAsia="仿宋_GB2312" w:cs="仿宋_GB2312"/>
          <w:color w:val="auto"/>
          <w:sz w:val="24"/>
          <w:highlight w:val="none"/>
          <w:lang w:val="en-US" w:eastAsia="zh-CN"/>
        </w:rPr>
        <w:t>mm</w:t>
      </w:r>
      <w:r>
        <w:rPr>
          <w:rFonts w:hint="eastAsia" w:ascii="仿宋_GB2312" w:hAnsi="仿宋_GB2312" w:eastAsia="仿宋_GB2312" w:cs="仿宋_GB2312"/>
          <w:color w:val="auto"/>
          <w:sz w:val="24"/>
          <w:highlight w:val="none"/>
        </w:rPr>
        <w:t>，并经过喷塑处理。</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2.2.5 通风孔：</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通风孔的设计和安装应使得当熔断器、断路器在正常工作时或在短路情况下没有电孤或可熔金属喷出。</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通风孔的尺寸、形状及安装位置不应使整个外壳的强度有明显下降。通风孔的设置不应降低外壳的防护等级。外壳顶部的通风孔应用履板遮盖。</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2.2.6 隔离：</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利用隔板可将装置划分或成几个隔室，如母线隔室、电缆隔室、功能单元隔室，以满足下述一种或几种要求：防止触及邻近功能单元的带电部件；限制事故电弧的扩大；防止外界物体从装置的一个隔室进到另一个隔室。</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隔室之间的开孔应确保熔断器、断路器在短路分断时产生的气体不影响相邻隔室的功能单元的正常工作。用作隔离的隔板可以是金属板或绝缘板，金属隔板应与保护接地导体可靠连接，金属隔板在人体碰撞时的变形不应减小其绝缘距离。绝缘隔板则不应碎裂。功能单元隔室中的隔板不应由短路分断时所产生的电弧或游离气体所产生的压力而造成损坏或永久变形。</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2.2.7 断路器</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作为电源进线的断路器(及作为母线联络的断路器)应选择其上、下进线具有相同分断能力的断路器。每台断路器在单元隔室中应有接通、试验和断开位置。所有额定值相同的断路器应能互换。应提供合适的机构，以保证在抽出或替换断路器时，其一次和二次隔离触头完全断开和接通。在一次触头接通前，断路器的框架应该可靠接地，并且，断路器在运行位置，以及一次触头分开一个安全距离以前的所有其他位置，其框架应保持可靠接地。</w:t>
      </w:r>
    </w:p>
    <w:p>
      <w:pPr>
        <w:spacing w:line="360" w:lineRule="auto"/>
        <w:ind w:firstLine="720" w:firstLineChars="3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提供适当的导轨，以便容易移动和插入可移动的断路器单元，并应提供止挡或指示器以精确定位在“接通”和“试验”位置。当断路器处于试验位置时，控制回路应允许就地操作。当断路器处于试验或隔离位置时，断路器的远方操作回路应断开。对塑壳断路器的操作手柄，应在抽出单元门关闭的情况下清晰地显示断路器的是在合、分位置，并能在抽出单元门外操作断路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2.2.8 联锁</w:t>
      </w:r>
    </w:p>
    <w:p>
      <w:pPr>
        <w:spacing w:line="360" w:lineRule="auto"/>
        <w:ind w:firstLine="720" w:firstLineChars="3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应提供如下辅助开关和机械联锁：</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一只位置开关，当断路器从“接通”位置抽出时应动作。该位置开关在断路器回复到“接通”位置之前，它应保持在动作的位置上。位置开关是用来使断路器从“接通”位置抽出时将断路器从“远方”变换到“就地”控制的。</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 主母线和分支母线</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2.3.1 主母线、分支母线及接头，都应予以绝缘。</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2.3.2 母线材料应选高导电率的铜材料制造。当采用螺栓连接时。每个连接头应不少于两个螺栓。</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 接线</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2.4.1 端子排额定电压不低于 500V，额定电流不小于 5A，具有隔板，标号线套和端子螺丝。每个端子排都应标以编号。电流端子额定电流不小于 20A。</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2.4.2 控制回路的导线均应选用绝缘电压不小于 500V，截面不小于 1.5m </w:t>
      </w:r>
      <w:r>
        <w:rPr>
          <w:rFonts w:hint="eastAsia" w:ascii="仿宋_GB2312" w:hAnsi="仿宋_GB2312" w:eastAsia="仿宋_GB2312" w:cs="仿宋_GB2312"/>
          <w:color w:val="auto"/>
          <w:sz w:val="24"/>
          <w:highlight w:val="none"/>
          <w:vertAlign w:val="superscript"/>
        </w:rPr>
        <w:t>2</w:t>
      </w:r>
      <w:r>
        <w:rPr>
          <w:rFonts w:hint="eastAsia" w:ascii="仿宋_GB2312" w:hAnsi="仿宋_GB2312" w:eastAsia="仿宋_GB2312" w:cs="仿宋_GB2312"/>
          <w:color w:val="auto"/>
          <w:sz w:val="24"/>
          <w:highlight w:val="none"/>
        </w:rPr>
        <w:t xml:space="preserve"> 的多股铜胶线。导线两端均要标以编号，导线任何的连接部分不能焊接。电流互感器回路导线截面不于小 2.5mm</w:t>
      </w:r>
      <w:r>
        <w:rPr>
          <w:rFonts w:hint="eastAsia" w:ascii="仿宋_GB2312" w:hAnsi="仿宋_GB2312" w:eastAsia="仿宋_GB2312" w:cs="仿宋_GB2312"/>
          <w:color w:val="auto"/>
          <w:sz w:val="24"/>
          <w:highlight w:val="none"/>
          <w:vertAlign w:val="superscript"/>
        </w:rPr>
        <w:t>2</w:t>
      </w:r>
      <w:r>
        <w:rPr>
          <w:rFonts w:hint="eastAsia" w:ascii="仿宋_GB2312" w:hAnsi="仿宋_GB2312" w:eastAsia="仿宋_GB2312" w:cs="仿宋_GB2312"/>
          <w:color w:val="auto"/>
          <w:sz w:val="24"/>
          <w:highlight w:val="none"/>
        </w:rPr>
        <w:t xml:space="preserve">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2.4.3 开关柜底座开孔应以设计图纸为准。</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 电容自动补偿柜</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（1）电容器柜采用非调谐滤波补偿技术，同时具有无功补偿及滤除谐波功能。能满足系统功率因数 COSφ≥0.90 或买方所需的功率因数值，并保证不会过补偿。</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（2）为了滤波无功补偿设备运行稳定，需采用补偿公司生产的同一品牌电容和电抗。</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（3）电容器装置应有过电压保护，每组电容器回路中应有限制合闸涌流的措施，并能防止在短时间内反复投切。电容器采用固定安装方式。电容器应内置放电电阻 1min 内剩余电压放电到 50V 或以下。</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（4）补偿柜内保护措施齐全，自动化程度高，能在外部故障或停电时自动退出工作，送电后能自动恢复运行，整套设备设有过压、欠压、过流等保护。</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2.5.1 电容自动补偿柜元件技术要求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控制器：可实现全自动投切，具有手动和自动控制操作，可实现智能循环投切、固定投切、优先投切、自由组合轮换休息的投切控制方式。投切控制仪在具备上述控制功能情况下，还具有柜内温度检测及报警，供电系统各参数显示和谐波检测功能等；控制物理量应优选多项综合型（带 485 接口）。</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（2）接触器：做为电容器的投切开关，选用国产一线电容专用接触器，满足有关规程、规范要求，满足控制回路对接点数量的要求。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（3）电容器: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1）电容器的额定电压：480V，电容器频率为 50Hz；</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电容器为干式，采用金属化聚丙烯薄膜为电介质具有自愈功能，灌注材料为氮气，这样可以确保电容具有较长的工作寿命和很低的损耗。并且采用压敏断路技术，应用于电容的每一相，当电容器不能使用时，能安全的从电路中切除，同时保持良好的绝缘性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3）电容器芯子并放在圆柱形的铝罐中，采用特殊的双层缝合技术密封。真空注入环氧树脂或惰性气体，确保容值稳定，并且介质及电极具有良好的化学稳定性。</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4）电容器须内置放电电阻，电源切离后 50S，残余电压须降至 50V 以下。</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5）介质损耗 0.1W/kvar。</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6）适用温度：-25℃~+55℃ 。</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7）过电压：1.1 × Un （长期），1.15 × Un （30min/24h）。</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9）过电流：2 × In。</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10）容值偏差：±5%</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12）浪涌电流：500*In</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13）电容器的外壳防护等级不低于 IP20；</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14）使用的低压电容器须</w:t>
      </w:r>
      <w:r>
        <w:rPr>
          <w:rFonts w:hint="eastAsia" w:ascii="仿宋_GB2312" w:hAnsi="仿宋_GB2312" w:eastAsia="仿宋_GB2312" w:cs="仿宋_GB2312"/>
          <w:color w:val="auto"/>
          <w:sz w:val="24"/>
          <w:highlight w:val="none"/>
          <w:lang w:val="en-US" w:eastAsia="zh-CN"/>
        </w:rPr>
        <w:t>为</w:t>
      </w:r>
      <w:r>
        <w:rPr>
          <w:rFonts w:hint="eastAsia" w:ascii="仿宋_GB2312" w:hAnsi="仿宋_GB2312" w:eastAsia="仿宋_GB2312" w:cs="仿宋_GB2312"/>
          <w:color w:val="auto"/>
          <w:sz w:val="24"/>
          <w:highlight w:val="none"/>
        </w:rPr>
        <w:t>通过检</w:t>
      </w:r>
      <w:r>
        <w:rPr>
          <w:rFonts w:hint="eastAsia" w:ascii="仿宋_GB2312" w:hAnsi="仿宋_GB2312" w:eastAsia="仿宋_GB2312" w:cs="仿宋_GB2312"/>
          <w:color w:val="auto"/>
          <w:sz w:val="24"/>
          <w:highlight w:val="none"/>
          <w:lang w:val="en-US" w:eastAsia="zh-CN"/>
        </w:rPr>
        <w:t>验</w:t>
      </w:r>
      <w:r>
        <w:rPr>
          <w:rFonts w:hint="eastAsia" w:ascii="仿宋_GB2312" w:hAnsi="仿宋_GB2312" w:eastAsia="仿宋_GB2312" w:cs="仿宋_GB2312"/>
          <w:color w:val="auto"/>
          <w:sz w:val="24"/>
          <w:highlight w:val="none"/>
        </w:rPr>
        <w:t>为合格的产品，并且提供检</w:t>
      </w:r>
      <w:r>
        <w:rPr>
          <w:rFonts w:hint="eastAsia" w:ascii="仿宋_GB2312" w:hAnsi="仿宋_GB2312" w:eastAsia="仿宋_GB2312" w:cs="仿宋_GB2312"/>
          <w:color w:val="auto"/>
          <w:sz w:val="24"/>
          <w:highlight w:val="none"/>
          <w:lang w:val="en-US" w:eastAsia="zh-CN"/>
        </w:rPr>
        <w:t>验</w:t>
      </w:r>
      <w:r>
        <w:rPr>
          <w:rFonts w:hint="eastAsia" w:ascii="仿宋_GB2312" w:hAnsi="仿宋_GB2312" w:eastAsia="仿宋_GB2312" w:cs="仿宋_GB2312"/>
          <w:color w:val="auto"/>
          <w:sz w:val="24"/>
          <w:highlight w:val="none"/>
        </w:rPr>
        <w:t>报告。</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15）制造标准 IEC60831-1 、IEC60831-2、VDE0560-46/47</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 电抗器:应与电容器相匹配，采用三相干式铁芯结构，纯铜绕组，电抗率为 7% ，保证补偿装置投入运行后，投切电容器时不会与系统发生谐振，确保补偿装置的可靠工作；且能降低电容器组的合闸涌流及避免电容器组产生谐波放大现象，同时避免造成电容器运行电压高，分闸时较易产生过电压。</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电抗器主要技术参数，电抗系数：7% ；系统额定电压：400V；最大允许工作电压：1.1Un ；线性度（工作电流）：2.0In；温控装置: 具有超温 120℃自保护功能。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电抗器铁芯采用优质硅钢片，具有体积小、低温升、低损耗、低噪声的特点。</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绝缘等级：H 级</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产品外观光洁、噪声低、免维护运行。</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（5）快速熔断器：配置在每台组电容器回路内，作为过流保护。</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（6）强迫风冷系统：为了降低柜内温度，保证元件可靠工作，要求配备强迫风冷系统，自动监测运行，高温时自启动，低温时处于休眠状态。</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2.6 多功能表功能要求：</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主进、母联、电容多功能仪表应具有三相电流、电压、功率、功率因数、频率、电度测量；两个开关量输入；Modbus 通信。</w:t>
      </w:r>
    </w:p>
    <w:p>
      <w:pPr>
        <w:spacing w:line="360" w:lineRule="auto"/>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出线多功能仪表应具有三相电流测量、三相电压测量、电能计量，两个开关量输入；Modbus 通信。均通过通讯管理机引入后台系统实现统一监控。</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 、干式变压器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 符合国家电力变压器制造标准及入网要求。绝缘等级为 F 级，绝缘材料不助燃、自熄、无毒。具有良好的防潮、防腐蚀性能，能承受热冲击，过载能力强。</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 高、低压线圈绕制方式：高低压全铜绕组,高压线绕,低压箔绕。</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3.3 绕组绝缘形式：环氧树脂真空浇注式</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3.4 配温控装置、风冷系统</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3.5 保护：变压器配置温控温显系统，可巡回显示三相温度，自动控制风机启停、具备超温报警和跳闸接点。</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3.6 保护方式：Pt100 测温元件预埋在低压线圈中，三相线圈巡回轮流检测，可显示最热一相绕组的温度值。并通过数字显示能随时了解变压器的运行温度。根据温度的变化，能自动控制冷却风机的启停，具备变压器故障、超温声光报警和超温跳闸接点。</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3.7 预期使用寿命（年）：正常使用条件下 30 年以上。</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lang w:val="en-US" w:eastAsia="zh-CN"/>
        </w:rPr>
        <w:t>8</w:t>
      </w:r>
      <w:r>
        <w:rPr>
          <w:rFonts w:hint="eastAsia" w:ascii="仿宋_GB2312" w:hAnsi="仿宋_GB2312" w:eastAsia="仿宋_GB2312" w:cs="仿宋_GB2312"/>
          <w:color w:val="auto"/>
          <w:sz w:val="24"/>
          <w:highlight w:val="none"/>
        </w:rPr>
        <w:t>变压器铁心和金属件均可靠接地（铁轭铁心螺杆除外），接地装置有防锈涂层，并附有明显接地标志。</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4 、油式变压器</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4.1 符合国家电力变压器制造标准及入网要求，噪声低，损耗低，铁芯无接缝，铁心材质为冷轧取向硅钢片。</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 绝缘水平</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4.2.1 高压绕组雷电全波冲击电压（峰值） 75 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4.2.2 高压绕组雷电截波冲击电压（峰值） 85 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4.2.3 高压绕组额定短时工频耐受电压（有效值） 35 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4.2.4 低压绕组额定短时工频耐受电压（有效值） 5 kV</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4.3 高低压线圈为全铜线圈，高低压线圈在芯柱上连续绕制，绕组紧实，同心度高。</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4.4 采用筒式或螺旋式结构，机械强度高，安匝分布平衡，产品的抗短路能力好。</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4.5 变压器油箱采用波纹油箱，箱盖与箱沿要完全焊死或用螺栓紧固，变压器使用寿命在 30 年以上。</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4.6 产品表面经去油、去锈、磷化处理后喷涂底漆、面漆,可以满足冶金、石化系统及潮湿污秽地区的特殊使用要求。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4.7 安装有压力释放阀、信号温度计、气体继电器等，能确保变压器安全运行。</w:t>
      </w:r>
    </w:p>
    <w:p>
      <w:pPr>
        <w:spacing w:line="360" w:lineRule="auto"/>
        <w:rPr>
          <w:rFonts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5、 电缆</w:t>
      </w:r>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应遵照最新版本的国家标准（GB）、电力行业标准（DL）、机械行业标准（JB）和国际电工委员会标准（IEC）等标准、规范或规程的要求。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.1  导体</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.1.1  导体结构、性能及外观符合GB/T3956-1997的规定。</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.1.2  导体表面光洁、无油污、无损伤绝缘的毛刺、锐边以及凸起或断裂的单线。</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.2  绝缘</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.2.1  绝缘紧密挤包在导体上，且容易剥离而不损伤导体。绝缘表面平整，色泽均匀。绝缘层的横断面上无目力可见的气泡和砂眼等缺陷。</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.2.2 绝缘采用PVC/A型聚氯乙烯混和物，绝缘的平均厚度不小于GB/T12706.1-2002中规定的标称值，绝缘的最薄点厚度不小于标称值的90%-0.1mm。</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.2.3  绝缘线芯采用颜色识别，分色规则符合GB6995-1986的规定。</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.3  缆芯、填充及内衬层</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.3.1  电缆绝缘线芯成缆方向为右向。</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.3.2  电缆的缆芯中用非吸湿性材料填充。　</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.3.3  VV22型电缆成缆线芯外绕包两层PVC黑带作为内衬层，其厚度符合GB/T12706.1-2002的规定。</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.4  铠装</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.4.1  单芯电缆采用双层不锈钢带铠装，多芯电缆铠装采用双层镀锌钢带铠装。</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.4.2  钢带螺旋式绕包，绕包间隔不超过钢带宽度的50%。</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.4.2  钢带厚度符合GB/T12706.1-2002的规定，钢带绕包圆整光滑。</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.5  外护套</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.5.1  电缆外护套紧密挤包在铠装层上，护套表面光洁，色泽均匀。</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.5.2  电缆外护套材料采用PVC/ST1聚氯乙烯混和物；护套厚度符合GB/T12706.1-2002的规定，其任一点的最小厚度不小于标称厚度80%-0.2mm。</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.6  其他</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.6.1  需提供参加询价产品的相关质量证明文件。</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.6.2  供应的产品包装采取形式，满足产品的存运条件。</w:t>
      </w:r>
    </w:p>
    <w:p>
      <w:pPr>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5</w:t>
      </w:r>
      <w:r>
        <w:rPr>
          <w:rFonts w:hint="eastAsia" w:ascii="仿宋_GB2312" w:hAnsi="仿宋_GB2312" w:eastAsia="仿宋_GB2312" w:cs="仿宋_GB2312"/>
          <w:color w:val="auto"/>
          <w:sz w:val="24"/>
          <w:highlight w:val="none"/>
        </w:rPr>
        <w:t>.6.3  乙方提供的全部产品质保期按国家质量标准和技术指标执行。</w:t>
      </w:r>
    </w:p>
    <w:p>
      <w:pPr>
        <w:spacing w:line="360" w:lineRule="auto"/>
        <w:outlineLvl w:val="1"/>
        <w:rPr>
          <w:rFonts w:hint="eastAsia" w:ascii="仿宋_GB2312" w:hAnsi="仿宋_GB2312" w:eastAsia="仿宋_GB2312" w:cs="仿宋_GB2312"/>
          <w:b/>
          <w:bCs/>
          <w:color w:val="auto"/>
          <w:sz w:val="24"/>
          <w:highlight w:val="none"/>
          <w:lang w:eastAsia="zh-CN"/>
        </w:rPr>
      </w:pPr>
      <w:bookmarkStart w:id="57" w:name="_Toc24028"/>
      <w:r>
        <w:rPr>
          <w:rFonts w:hint="eastAsia" w:ascii="仿宋_GB2312" w:hAnsi="仿宋_GB2312" w:eastAsia="仿宋_GB2312" w:cs="仿宋_GB2312"/>
          <w:b/>
          <w:bCs/>
          <w:color w:val="auto"/>
          <w:sz w:val="24"/>
          <w:highlight w:val="none"/>
          <w:lang w:eastAsia="zh-CN"/>
        </w:rPr>
        <w:t>第四部分：其它要求</w:t>
      </w:r>
      <w:bookmarkEnd w:id="57"/>
    </w:p>
    <w:p>
      <w:pPr>
        <w:spacing w:line="36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、所采用的技术规范和标准如出现不一致的情况，以标准高的为准。</w:t>
      </w:r>
    </w:p>
    <w:p>
      <w:pPr>
        <w:spacing w:line="360" w:lineRule="auto"/>
        <w:ind w:firstLine="424" w:firstLineChars="177"/>
        <w:rPr>
          <w:rFonts w:ascii="仿宋_GB2312" w:hAnsi="仿宋_GB2312" w:eastAsia="仿宋_GB2312" w:cs="仿宋_GB2312"/>
          <w:color w:val="auto"/>
          <w:highlight w:val="none"/>
        </w:rPr>
      </w:pPr>
    </w:p>
    <w:p>
      <w:pPr>
        <w:rPr>
          <w:rFonts w:ascii="仿宋_GB2312" w:hAnsi="仿宋_GB2312" w:eastAsia="仿宋_GB2312" w:cs="仿宋_GB2312"/>
          <w:color w:val="auto"/>
          <w:highlight w:val="none"/>
        </w:rPr>
      </w:pPr>
    </w:p>
    <w:p>
      <w:pPr>
        <w:snapToGrid w:val="0"/>
        <w:spacing w:line="360" w:lineRule="auto"/>
        <w:ind w:firstLine="480" w:firstLineChars="200"/>
        <w:rPr>
          <w:rFonts w:hint="eastAsia" w:ascii="仿宋_GB2312" w:hAnsi="仿宋_GB2312" w:eastAsia="仿宋_GB2312" w:cs="仿宋_GB2312"/>
          <w:color w:val="auto"/>
          <w:highlight w:val="none"/>
        </w:rPr>
      </w:pPr>
    </w:p>
    <w:p>
      <w:pPr>
        <w:snapToGrid w:val="0"/>
        <w:spacing w:line="360" w:lineRule="auto"/>
        <w:jc w:val="center"/>
        <w:outlineLvl w:val="0"/>
        <w:rPr>
          <w:rFonts w:hint="eastAsia" w:ascii="仿宋_GB2312" w:hAnsi="仿宋_GB2312" w:eastAsia="仿宋_GB2312"/>
          <w:b/>
          <w:color w:val="auto"/>
          <w:sz w:val="32"/>
          <w:highlight w:val="none"/>
        </w:rPr>
      </w:pPr>
      <w:r>
        <w:rPr>
          <w:rFonts w:ascii="仿宋_GB2312" w:hAnsi="仿宋_GB2312" w:eastAsia="仿宋_GB2312"/>
          <w:b/>
          <w:color w:val="auto"/>
          <w:sz w:val="32"/>
          <w:highlight w:val="none"/>
        </w:rPr>
        <w:br w:type="page"/>
      </w:r>
      <w:bookmarkStart w:id="58" w:name="_Toc7258"/>
      <w:r>
        <w:rPr>
          <w:rFonts w:hint="eastAsia" w:ascii="仿宋_GB2312" w:hAnsi="仿宋_GB2312" w:eastAsia="仿宋_GB2312"/>
          <w:b/>
          <w:color w:val="auto"/>
          <w:sz w:val="32"/>
          <w:highlight w:val="none"/>
        </w:rPr>
        <w:t>第八章   投标文件格式</w:t>
      </w:r>
      <w:bookmarkEnd w:id="58"/>
    </w:p>
    <w:p>
      <w:pPr>
        <w:snapToGrid w:val="0"/>
        <w:spacing w:line="360" w:lineRule="auto"/>
        <w:jc w:val="right"/>
        <w:rPr>
          <w:rFonts w:hint="eastAsia" w:ascii="仿宋_GB2312" w:hAnsi="仿宋_GB2312" w:eastAsia="仿宋_GB2312"/>
          <w:b/>
          <w:color w:val="auto"/>
          <w:highlight w:val="none"/>
        </w:rPr>
      </w:pPr>
    </w:p>
    <w:p>
      <w:pPr>
        <w:snapToGrid w:val="0"/>
        <w:spacing w:line="360" w:lineRule="auto"/>
        <w:jc w:val="center"/>
        <w:rPr>
          <w:rFonts w:hint="eastAsia" w:ascii="仿宋_GB2312" w:hAnsi="仿宋_GB2312" w:eastAsia="仿宋_GB2312"/>
          <w:b/>
          <w:bCs/>
          <w:color w:val="auto"/>
          <w:sz w:val="40"/>
          <w:szCs w:val="40"/>
          <w:highlight w:val="none"/>
        </w:rPr>
      </w:pPr>
    </w:p>
    <w:p>
      <w:pPr>
        <w:snapToGrid w:val="0"/>
        <w:spacing w:line="360" w:lineRule="auto"/>
        <w:jc w:val="center"/>
        <w:outlineLvl w:val="9"/>
        <w:rPr>
          <w:rFonts w:hint="eastAsia" w:ascii="仿宋_GB2312" w:hAnsi="仿宋_GB2312" w:eastAsia="仿宋_GB2312"/>
          <w:b/>
          <w:bCs/>
          <w:color w:val="auto"/>
          <w:sz w:val="40"/>
          <w:szCs w:val="40"/>
          <w:highlight w:val="none"/>
          <w:lang w:eastAsia="zh-CN"/>
        </w:rPr>
      </w:pPr>
      <w:r>
        <w:rPr>
          <w:rFonts w:hint="eastAsia" w:ascii="仿宋_GB2312" w:hAnsi="仿宋_GB2312" w:eastAsia="仿宋_GB2312"/>
          <w:b/>
          <w:bCs/>
          <w:color w:val="auto"/>
          <w:sz w:val="40"/>
          <w:szCs w:val="40"/>
          <w:highlight w:val="none"/>
          <w:lang w:eastAsia="zh-CN"/>
        </w:rPr>
        <w:t>华北水利水电大学（花园校区）增容供配电工程项目</w:t>
      </w:r>
    </w:p>
    <w:p>
      <w:pPr>
        <w:snapToGrid w:val="0"/>
        <w:spacing w:line="360" w:lineRule="auto"/>
        <w:jc w:val="center"/>
        <w:outlineLvl w:val="9"/>
        <w:rPr>
          <w:rFonts w:hint="eastAsia" w:ascii="仿宋_GB2312" w:hAnsi="仿宋_GB2312" w:eastAsia="仿宋_GB2312"/>
          <w:b/>
          <w:color w:val="auto"/>
          <w:sz w:val="72"/>
          <w:highlight w:val="none"/>
        </w:rPr>
      </w:pPr>
    </w:p>
    <w:p>
      <w:pPr>
        <w:pStyle w:val="2"/>
        <w:ind w:left="480" w:firstLine="1446"/>
        <w:outlineLvl w:val="9"/>
        <w:rPr>
          <w:rFonts w:hint="eastAsia" w:ascii="仿宋_GB2312" w:hAnsi="仿宋_GB2312" w:eastAsia="仿宋_GB2312"/>
          <w:b/>
          <w:color w:val="auto"/>
          <w:sz w:val="72"/>
          <w:highlight w:val="none"/>
        </w:rPr>
      </w:pPr>
    </w:p>
    <w:p>
      <w:pPr>
        <w:pStyle w:val="2"/>
        <w:ind w:left="480" w:firstLine="1446"/>
        <w:outlineLvl w:val="9"/>
        <w:rPr>
          <w:rFonts w:hint="eastAsia" w:ascii="仿宋_GB2312" w:hAnsi="仿宋_GB2312" w:eastAsia="仿宋_GB2312"/>
          <w:b/>
          <w:color w:val="auto"/>
          <w:sz w:val="72"/>
          <w:highlight w:val="none"/>
        </w:rPr>
      </w:pPr>
    </w:p>
    <w:p>
      <w:pPr>
        <w:snapToGrid w:val="0"/>
        <w:spacing w:line="360" w:lineRule="auto"/>
        <w:jc w:val="center"/>
        <w:outlineLvl w:val="9"/>
        <w:rPr>
          <w:rFonts w:hint="eastAsia" w:ascii="仿宋_GB2312" w:hAnsi="仿宋_GB2312" w:eastAsia="仿宋_GB2312"/>
          <w:b/>
          <w:color w:val="auto"/>
          <w:sz w:val="72"/>
          <w:highlight w:val="none"/>
        </w:rPr>
      </w:pPr>
      <w:r>
        <w:rPr>
          <w:rFonts w:hint="eastAsia" w:ascii="仿宋_GB2312" w:hAnsi="仿宋_GB2312" w:eastAsia="仿宋_GB2312"/>
          <w:b/>
          <w:color w:val="auto"/>
          <w:sz w:val="72"/>
          <w:highlight w:val="none"/>
        </w:rPr>
        <w:t>投标文件</w:t>
      </w:r>
    </w:p>
    <w:p>
      <w:pPr>
        <w:snapToGrid w:val="0"/>
        <w:spacing w:line="360" w:lineRule="auto"/>
        <w:jc w:val="center"/>
        <w:rPr>
          <w:rFonts w:hint="eastAsia" w:ascii="仿宋_GB2312" w:hAnsi="仿宋_GB2312" w:eastAsia="仿宋_GB2312"/>
          <w:b/>
          <w:color w:val="auto"/>
          <w:highlight w:val="none"/>
        </w:rPr>
      </w:pPr>
    </w:p>
    <w:p>
      <w:pPr>
        <w:snapToGrid w:val="0"/>
        <w:spacing w:line="360" w:lineRule="auto"/>
        <w:jc w:val="center"/>
        <w:rPr>
          <w:rFonts w:hint="eastAsia" w:ascii="仿宋_GB2312" w:hAnsi="仿宋_GB2312" w:eastAsia="仿宋_GB2312"/>
          <w:b/>
          <w:color w:val="auto"/>
          <w:highlight w:val="none"/>
        </w:rPr>
      </w:pPr>
    </w:p>
    <w:p>
      <w:pPr>
        <w:snapToGrid w:val="0"/>
        <w:spacing w:line="360" w:lineRule="auto"/>
        <w:ind w:firstLine="480"/>
        <w:rPr>
          <w:rFonts w:hint="eastAsia" w:ascii="仿宋_GB2312" w:hAnsi="仿宋_GB2312" w:eastAsia="仿宋_GB2312"/>
          <w:color w:val="auto"/>
          <w:highlight w:val="none"/>
        </w:rPr>
      </w:pPr>
    </w:p>
    <w:p>
      <w:pPr>
        <w:snapToGrid w:val="0"/>
        <w:spacing w:line="360" w:lineRule="auto"/>
        <w:ind w:firstLine="480"/>
        <w:rPr>
          <w:rFonts w:hint="eastAsia" w:ascii="仿宋_GB2312" w:hAnsi="仿宋_GB2312" w:eastAsia="仿宋_GB2312"/>
          <w:color w:val="auto"/>
          <w:highlight w:val="none"/>
        </w:rPr>
      </w:pPr>
    </w:p>
    <w:p>
      <w:pPr>
        <w:snapToGrid w:val="0"/>
        <w:spacing w:line="360" w:lineRule="auto"/>
        <w:ind w:firstLine="1560"/>
        <w:rPr>
          <w:rFonts w:hint="eastAsia" w:ascii="仿宋_GB2312" w:hAnsi="仿宋_GB2312" w:eastAsia="仿宋_GB2312"/>
          <w:color w:val="auto"/>
          <w:highlight w:val="none"/>
        </w:rPr>
      </w:pPr>
    </w:p>
    <w:p>
      <w:pPr>
        <w:snapToGrid w:val="0"/>
        <w:spacing w:line="360" w:lineRule="auto"/>
        <w:rPr>
          <w:rFonts w:hint="eastAsia" w:ascii="仿宋_GB2312" w:hAnsi="仿宋_GB2312" w:eastAsia="仿宋_GB2312"/>
          <w:color w:val="auto"/>
          <w:highlight w:val="none"/>
        </w:rPr>
      </w:pPr>
    </w:p>
    <w:p>
      <w:pPr>
        <w:snapToGrid w:val="0"/>
        <w:spacing w:line="360" w:lineRule="auto"/>
        <w:ind w:firstLine="1560"/>
        <w:rPr>
          <w:rFonts w:hint="eastAsia" w:ascii="仿宋_GB2312" w:hAnsi="仿宋_GB2312" w:eastAsia="仿宋_GB2312"/>
          <w:color w:val="auto"/>
          <w:highlight w:val="none"/>
        </w:rPr>
      </w:pPr>
    </w:p>
    <w:p>
      <w:pPr>
        <w:snapToGrid w:val="0"/>
        <w:spacing w:line="360" w:lineRule="auto"/>
        <w:ind w:firstLine="1560"/>
        <w:rPr>
          <w:rFonts w:hint="eastAsia" w:ascii="仿宋_GB2312" w:hAnsi="仿宋_GB2312" w:eastAsia="仿宋_GB2312"/>
          <w:color w:val="auto"/>
          <w:highlight w:val="none"/>
        </w:rPr>
      </w:pPr>
    </w:p>
    <w:p>
      <w:pPr>
        <w:snapToGrid w:val="0"/>
        <w:spacing w:line="360" w:lineRule="auto"/>
        <w:ind w:firstLine="1560"/>
        <w:rPr>
          <w:rFonts w:hint="eastAsia" w:ascii="仿宋_GB2312" w:hAnsi="仿宋_GB2312" w:eastAsia="仿宋_GB2312"/>
          <w:b/>
          <w:color w:val="auto"/>
          <w:highlight w:val="none"/>
        </w:rPr>
      </w:pPr>
      <w:r>
        <w:rPr>
          <w:rFonts w:hint="eastAsia" w:ascii="仿宋_GB2312" w:hAnsi="仿宋_GB2312" w:eastAsia="仿宋_GB2312"/>
          <w:color w:val="auto"/>
          <w:highlight w:val="none"/>
        </w:rPr>
        <w:t xml:space="preserve"> </w:t>
      </w:r>
      <w:r>
        <w:rPr>
          <w:rFonts w:hint="eastAsia" w:ascii="仿宋_GB2312" w:hAnsi="仿宋_GB2312" w:eastAsia="仿宋_GB2312"/>
          <w:b/>
          <w:color w:val="auto"/>
          <w:highlight w:val="none"/>
        </w:rPr>
        <w:t>投标人：</w:t>
      </w:r>
      <w:r>
        <w:rPr>
          <w:rFonts w:hint="eastAsia" w:ascii="仿宋_GB2312" w:hAnsi="仿宋_GB2312" w:eastAsia="仿宋_GB2312"/>
          <w:b/>
          <w:color w:val="auto"/>
          <w:highlight w:val="none"/>
          <w:u w:val="single"/>
        </w:rPr>
        <w:t xml:space="preserve">                            </w:t>
      </w:r>
      <w:r>
        <w:rPr>
          <w:rFonts w:hint="eastAsia" w:ascii="仿宋_GB2312" w:hAnsi="仿宋_GB2312" w:eastAsia="仿宋_GB2312"/>
          <w:b/>
          <w:color w:val="auto"/>
          <w:highlight w:val="none"/>
        </w:rPr>
        <w:t>（盖单位公章）</w:t>
      </w:r>
    </w:p>
    <w:p>
      <w:pPr>
        <w:snapToGrid w:val="0"/>
        <w:spacing w:line="360" w:lineRule="auto"/>
        <w:ind w:firstLine="1687"/>
        <w:rPr>
          <w:rFonts w:hint="eastAsia" w:ascii="仿宋_GB2312" w:hAnsi="仿宋_GB2312" w:eastAsia="仿宋_GB2312"/>
          <w:b/>
          <w:color w:val="auto"/>
          <w:highlight w:val="none"/>
          <w:u w:val="single"/>
        </w:rPr>
      </w:pPr>
      <w:r>
        <w:rPr>
          <w:rFonts w:hint="eastAsia" w:ascii="仿宋_GB2312" w:hAnsi="仿宋_GB2312" w:eastAsia="仿宋_GB2312"/>
          <w:b/>
          <w:color w:val="auto"/>
          <w:highlight w:val="none"/>
        </w:rPr>
        <w:t>法定代表人或其委托代理人：</w:t>
      </w:r>
      <w:r>
        <w:rPr>
          <w:rFonts w:hint="eastAsia" w:ascii="仿宋_GB2312" w:hAnsi="仿宋_GB2312" w:eastAsia="仿宋_GB2312"/>
          <w:b/>
          <w:color w:val="auto"/>
          <w:highlight w:val="none"/>
          <w:u w:val="single"/>
        </w:rPr>
        <w:t xml:space="preserve">            </w:t>
      </w:r>
      <w:r>
        <w:rPr>
          <w:rFonts w:hint="eastAsia" w:ascii="仿宋_GB2312" w:hAnsi="仿宋_GB2312" w:eastAsia="仿宋_GB2312"/>
          <w:b/>
          <w:color w:val="auto"/>
          <w:highlight w:val="none"/>
        </w:rPr>
        <w:t>（</w:t>
      </w:r>
      <w:r>
        <w:rPr>
          <w:rFonts w:hint="eastAsia" w:ascii="仿宋_GB2312" w:hAnsi="仿宋_GB2312" w:eastAsia="仿宋_GB2312"/>
          <w:b/>
          <w:color w:val="auto"/>
          <w:szCs w:val="22"/>
          <w:highlight w:val="none"/>
        </w:rPr>
        <w:t>签字或盖个人印章</w:t>
      </w:r>
      <w:r>
        <w:rPr>
          <w:rFonts w:hint="eastAsia" w:ascii="仿宋_GB2312" w:hAnsi="仿宋_GB2312" w:eastAsia="仿宋_GB2312"/>
          <w:b/>
          <w:color w:val="auto"/>
          <w:highlight w:val="none"/>
        </w:rPr>
        <w:t>）</w:t>
      </w:r>
    </w:p>
    <w:p>
      <w:pPr>
        <w:snapToGrid w:val="0"/>
        <w:spacing w:line="360" w:lineRule="auto"/>
        <w:jc w:val="center"/>
        <w:rPr>
          <w:rFonts w:hint="eastAsia" w:ascii="仿宋_GB2312" w:hAnsi="仿宋_GB2312" w:eastAsia="仿宋_GB2312"/>
          <w:b/>
          <w:color w:val="auto"/>
          <w:highlight w:val="none"/>
        </w:rPr>
      </w:pPr>
      <w:r>
        <w:rPr>
          <w:rFonts w:hint="eastAsia" w:ascii="仿宋_GB2312" w:hAnsi="仿宋_GB2312" w:eastAsia="仿宋_GB2312"/>
          <w:b/>
          <w:color w:val="auto"/>
          <w:highlight w:val="none"/>
          <w:u w:val="single"/>
        </w:rPr>
        <w:t xml:space="preserve">         </w:t>
      </w:r>
      <w:r>
        <w:rPr>
          <w:rFonts w:hint="eastAsia" w:ascii="仿宋_GB2312" w:hAnsi="仿宋_GB2312" w:eastAsia="仿宋_GB2312"/>
          <w:b/>
          <w:color w:val="auto"/>
          <w:highlight w:val="none"/>
        </w:rPr>
        <w:t>年</w:t>
      </w:r>
      <w:r>
        <w:rPr>
          <w:rFonts w:hint="eastAsia" w:ascii="仿宋_GB2312" w:hAnsi="仿宋_GB2312" w:eastAsia="仿宋_GB2312"/>
          <w:b/>
          <w:color w:val="auto"/>
          <w:highlight w:val="none"/>
          <w:u w:val="single"/>
        </w:rPr>
        <w:t xml:space="preserve">    </w:t>
      </w:r>
      <w:r>
        <w:rPr>
          <w:rFonts w:hint="eastAsia" w:ascii="仿宋_GB2312" w:hAnsi="仿宋_GB2312" w:eastAsia="仿宋_GB2312"/>
          <w:b/>
          <w:color w:val="auto"/>
          <w:highlight w:val="none"/>
        </w:rPr>
        <w:t>月</w:t>
      </w:r>
      <w:r>
        <w:rPr>
          <w:rFonts w:hint="eastAsia" w:ascii="仿宋_GB2312" w:hAnsi="仿宋_GB2312" w:eastAsia="仿宋_GB2312"/>
          <w:b/>
          <w:color w:val="auto"/>
          <w:highlight w:val="none"/>
          <w:u w:val="single"/>
        </w:rPr>
        <w:t xml:space="preserve">    </w:t>
      </w:r>
      <w:r>
        <w:rPr>
          <w:rFonts w:hint="eastAsia" w:ascii="仿宋_GB2312" w:hAnsi="仿宋_GB2312" w:eastAsia="仿宋_GB2312"/>
          <w:b/>
          <w:color w:val="auto"/>
          <w:highlight w:val="none"/>
        </w:rPr>
        <w:t>日</w:t>
      </w:r>
    </w:p>
    <w:p>
      <w:pPr>
        <w:snapToGrid w:val="0"/>
        <w:ind w:firstLine="3255"/>
        <w:rPr>
          <w:rFonts w:hint="eastAsia" w:ascii="仿宋_GB2312" w:hAnsi="仿宋_GB2312" w:eastAsia="仿宋_GB2312"/>
          <w:color w:val="auto"/>
          <w:highlight w:val="none"/>
        </w:rPr>
      </w:pPr>
      <w:r>
        <w:rPr>
          <w:color w:val="auto"/>
          <w:highlight w:val="none"/>
        </w:rPr>
        <w:br w:type="page"/>
      </w:r>
    </w:p>
    <w:p>
      <w:pPr>
        <w:snapToGrid w:val="0"/>
        <w:ind w:firstLine="3255"/>
        <w:rPr>
          <w:rFonts w:hint="eastAsia" w:ascii="仿宋_GB2312" w:hAnsi="仿宋_GB2312" w:eastAsia="仿宋_GB2312"/>
          <w:color w:val="auto"/>
          <w:highlight w:val="none"/>
        </w:rPr>
      </w:pPr>
    </w:p>
    <w:p>
      <w:pPr>
        <w:tabs>
          <w:tab w:val="left" w:pos="3560"/>
        </w:tabs>
        <w:snapToGrid w:val="0"/>
        <w:spacing w:line="360" w:lineRule="auto"/>
        <w:jc w:val="center"/>
        <w:outlineLvl w:val="1"/>
        <w:rPr>
          <w:rFonts w:hint="eastAsia" w:ascii="仿宋_GB2312" w:hAnsi="仿宋_GB2312" w:eastAsia="仿宋_GB2312"/>
          <w:b/>
          <w:color w:val="auto"/>
          <w:sz w:val="28"/>
          <w:highlight w:val="none"/>
        </w:rPr>
      </w:pPr>
      <w:bookmarkStart w:id="59" w:name="_Toc25186"/>
      <w:r>
        <w:rPr>
          <w:rFonts w:hint="eastAsia" w:ascii="仿宋_GB2312" w:hAnsi="仿宋_GB2312" w:eastAsia="仿宋_GB2312"/>
          <w:b/>
          <w:color w:val="auto"/>
          <w:sz w:val="28"/>
          <w:highlight w:val="none"/>
        </w:rPr>
        <w:t>目  录</w:t>
      </w:r>
      <w:bookmarkEnd w:id="59"/>
    </w:p>
    <w:p>
      <w:pPr>
        <w:tabs>
          <w:tab w:val="left" w:pos="3560"/>
        </w:tabs>
        <w:snapToGrid w:val="0"/>
        <w:spacing w:line="360" w:lineRule="auto"/>
        <w:jc w:val="center"/>
        <w:rPr>
          <w:rFonts w:hint="eastAsia" w:ascii="仿宋_GB2312" w:hAnsi="仿宋_GB2312" w:eastAsia="仿宋_GB2312"/>
          <w:b/>
          <w:color w:val="auto"/>
          <w:sz w:val="28"/>
          <w:highlight w:val="none"/>
        </w:rPr>
      </w:pP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一、投标函及投标函附录；</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二、法定代表人身份证明及授权委托书；</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三、</w:t>
      </w:r>
      <w:r>
        <w:rPr>
          <w:rFonts w:hint="eastAsia" w:ascii="仿宋_GB2312" w:hAnsi="仿宋_GB2312" w:eastAsia="仿宋_GB2312"/>
          <w:color w:val="auto"/>
          <w:highlight w:val="none"/>
          <w:lang w:eastAsia="zh-CN"/>
        </w:rPr>
        <w:t>投标保证金交纳证明</w:t>
      </w:r>
      <w:r>
        <w:rPr>
          <w:rFonts w:hint="eastAsia" w:ascii="仿宋_GB2312" w:hAnsi="仿宋_GB2312" w:eastAsia="仿宋_GB2312"/>
          <w:color w:val="auto"/>
          <w:highlight w:val="none"/>
        </w:rPr>
        <w:t>；</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四、已标价工程量清单；</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五、施工组织设计；</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六、项目管理机构；</w:t>
      </w:r>
    </w:p>
    <w:p>
      <w:pPr>
        <w:tabs>
          <w:tab w:val="left" w:pos="2918"/>
        </w:tabs>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七、资格审查资料；</w:t>
      </w:r>
      <w:r>
        <w:rPr>
          <w:rFonts w:hint="eastAsia" w:ascii="仿宋_GB2312" w:hAnsi="仿宋_GB2312" w:eastAsia="仿宋_GB2312"/>
          <w:color w:val="auto"/>
          <w:highlight w:val="none"/>
        </w:rPr>
        <w:tab/>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八、近年类似工程项目业绩；</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九、反商业贿赂承诺书；</w:t>
      </w:r>
    </w:p>
    <w:p>
      <w:pPr>
        <w:snapToGrid w:val="0"/>
        <w:spacing w:line="360" w:lineRule="auto"/>
        <w:ind w:firstLine="206"/>
        <w:rPr>
          <w:rFonts w:hint="eastAsia" w:ascii="仿宋_GB2312" w:hAnsi="仿宋_GB2312" w:eastAsia="仿宋_GB2312"/>
          <w:color w:val="auto"/>
          <w:highlight w:val="none"/>
        </w:rPr>
      </w:pPr>
      <w:r>
        <w:rPr>
          <w:rFonts w:hint="eastAsia" w:ascii="仿宋_GB2312" w:hAnsi="仿宋_GB2312" w:eastAsia="仿宋_GB2312"/>
          <w:color w:val="auto"/>
          <w:highlight w:val="none"/>
        </w:rPr>
        <w:t>十、其他材料。</w:t>
      </w:r>
    </w:p>
    <w:p>
      <w:pPr>
        <w:snapToGrid w:val="0"/>
        <w:spacing w:line="360" w:lineRule="auto"/>
        <w:jc w:val="center"/>
        <w:outlineLvl w:val="1"/>
        <w:rPr>
          <w:rFonts w:hint="eastAsia" w:ascii="仿宋_GB2312" w:hAnsi="仿宋_GB2312" w:eastAsia="仿宋_GB2312"/>
          <w:color w:val="auto"/>
          <w:highlight w:val="none"/>
        </w:rPr>
      </w:pPr>
      <w:r>
        <w:rPr>
          <w:color w:val="auto"/>
          <w:highlight w:val="none"/>
        </w:rPr>
        <w:br w:type="page"/>
      </w:r>
      <w:bookmarkStart w:id="60" w:name="_Toc19765"/>
      <w:r>
        <w:rPr>
          <w:rFonts w:hint="eastAsia" w:ascii="仿宋_GB2312" w:hAnsi="仿宋_GB2312" w:eastAsia="仿宋_GB2312"/>
          <w:color w:val="auto"/>
          <w:highlight w:val="none"/>
        </w:rPr>
        <w:t>一、投标函及投标函附录</w:t>
      </w:r>
      <w:bookmarkEnd w:id="60"/>
    </w:p>
    <w:p>
      <w:pPr>
        <w:numPr>
          <w:ilvl w:val="0"/>
          <w:numId w:val="5"/>
        </w:numPr>
        <w:snapToGrid w:val="0"/>
        <w:spacing w:line="360" w:lineRule="auto"/>
        <w:jc w:val="center"/>
        <w:outlineLvl w:val="2"/>
        <w:rPr>
          <w:rFonts w:hint="eastAsia" w:ascii="仿宋_GB2312" w:hAnsi="仿宋_GB2312" w:eastAsia="仿宋_GB2312"/>
          <w:b/>
          <w:color w:val="auto"/>
          <w:sz w:val="28"/>
          <w:highlight w:val="none"/>
        </w:rPr>
      </w:pPr>
      <w:r>
        <w:rPr>
          <w:rFonts w:hint="eastAsia" w:ascii="仿宋_GB2312" w:hAnsi="仿宋_GB2312" w:eastAsia="仿宋_GB2312"/>
          <w:b/>
          <w:color w:val="auto"/>
          <w:sz w:val="28"/>
          <w:highlight w:val="none"/>
        </w:rPr>
        <w:t>投 标 函</w:t>
      </w:r>
    </w:p>
    <w:p>
      <w:pPr>
        <w:snapToGrid w:val="0"/>
        <w:spacing w:line="360" w:lineRule="auto"/>
        <w:rPr>
          <w:rFonts w:hint="eastAsia" w:ascii="仿宋_GB2312" w:hAnsi="仿宋_GB2312" w:eastAsia="仿宋_GB2312"/>
          <w:b/>
          <w:color w:val="auto"/>
          <w:sz w:val="28"/>
          <w:highlight w:val="none"/>
        </w:rPr>
      </w:pPr>
    </w:p>
    <w:p>
      <w:pPr>
        <w:pStyle w:val="20"/>
        <w:wordWrap w:val="0"/>
        <w:spacing w:after="0"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致</w:t>
      </w:r>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u w:val="single"/>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0</wp:posOffset>
                </wp:positionV>
                <wp:extent cx="635" cy="0"/>
                <wp:effectExtent l="0" t="0" r="0" b="0"/>
                <wp:wrapNone/>
                <wp:docPr id="5" name="自选图形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自选图形 18" o:spid="_x0000_s1026" o:spt="1" style="position:absolute;left:0pt;margin-left:0pt;margin-top:0pt;height:0pt;width:0.05pt;z-index:251662336;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CX9zwAAAP8AAAAPAAAAAAAAAAEAIAAA&#10;ACIAAABkcnMvZG93bnJldi54bWxQSwECFAAUAAAACACHTuJA6D8L1aMBAAAgAwAADgAAAAAAAAAB&#10;ACAAAAAeAQAAZHJzL2Uyb0RvYy54bWxQSwUGAAAAAAYABgBZAQAAMwUAAAAA&#10;">
                <v:fill on="f" focussize="0,0"/>
                <v:stroke on="f"/>
                <v:imagedata o:title=""/>
                <o:lock v:ext="edit" aspectratio="t"/>
                <w10:anchorlock/>
              </v:rect>
            </w:pict>
          </mc:Fallback>
        </mc:AlternateConten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招标人名称） </w:t>
      </w:r>
    </w:p>
    <w:p>
      <w:pPr>
        <w:pStyle w:val="20"/>
        <w:wordWrap w:val="0"/>
        <w:spacing w:after="0"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1、我方已仔细研究了</w:t>
      </w:r>
      <w:r>
        <w:rPr>
          <w:rFonts w:hint="eastAsia" w:ascii="仿宋_GB2312" w:hAnsi="仿宋_GB2312" w:eastAsia="仿宋_GB2312" w:cs="仿宋_GB2312"/>
          <w:color w:val="auto"/>
          <w:highlight w:val="none"/>
        </w:rPr>
        <mc:AlternateContent>
          <mc:Choice Requires="wps">
            <w:drawing>
              <wp:anchor distT="0" distB="0" distL="114300" distR="114300" simplePos="0" relativeHeight="251663360" behindDoc="0" locked="1" layoutInCell="1" allowOverlap="1">
                <wp:simplePos x="0" y="0"/>
                <wp:positionH relativeFrom="column">
                  <wp:posOffset>0</wp:posOffset>
                </wp:positionH>
                <wp:positionV relativeFrom="paragraph">
                  <wp:posOffset>0</wp:posOffset>
                </wp:positionV>
                <wp:extent cx="635" cy="0"/>
                <wp:effectExtent l="0" t="0" r="0" b="0"/>
                <wp:wrapNone/>
                <wp:docPr id="6" name="自选图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自选图形 19" o:spid="_x0000_s1026" o:spt="1" style="position:absolute;left:0pt;margin-left:0pt;margin-top:0pt;height:0pt;width:0.05pt;z-index:251663360;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CX9zwAAAP8AAAAPAAAAAAAAAAEAIAAA&#10;ACIAAABkcnMvZG93bnJldi54bWxQSwECFAAUAAAACACHTuJAoiVBtKMBAAAgAwAADgAAAAAAAAAB&#10;ACAAAAAeAQAAZHJzL2Uyb0RvYy54bWxQSwUGAAAAAAYABgBZAQAAMwUAAAAA&#10;">
                <v:fill on="f" focussize="0,0"/>
                <v:stroke on="f"/>
                <v:imagedata o:title=""/>
                <o:lock v:ext="edit" aspectratio="t"/>
                <w10:anchorlock/>
              </v:rect>
            </w:pict>
          </mc:Fallback>
        </mc:AlternateConten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（项目名称）</w:t>
      </w:r>
      <w:r>
        <w:rPr>
          <w:rFonts w:hint="eastAsia" w:ascii="仿宋_GB2312" w:hAnsi="仿宋_GB2312" w:eastAsia="仿宋_GB2312" w:cs="仿宋_GB2312"/>
          <w:color w:val="auto"/>
          <w:highlight w:val="none"/>
          <w:u w:val="single"/>
        </w:rPr>
        <mc:AlternateContent>
          <mc:Choice Requires="wps">
            <w:drawing>
              <wp:anchor distT="0" distB="0" distL="114300" distR="114300" simplePos="0" relativeHeight="251664384" behindDoc="0" locked="1" layoutInCell="1" allowOverlap="1">
                <wp:simplePos x="0" y="0"/>
                <wp:positionH relativeFrom="column">
                  <wp:posOffset>0</wp:posOffset>
                </wp:positionH>
                <wp:positionV relativeFrom="paragraph">
                  <wp:posOffset>0</wp:posOffset>
                </wp:positionV>
                <wp:extent cx="635" cy="0"/>
                <wp:effectExtent l="0" t="0" r="0" b="0"/>
                <wp:wrapNone/>
                <wp:docPr id="7" name="自选图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自选图形 20" o:spid="_x0000_s1026" o:spt="1" style="position:absolute;left:0pt;margin-left:0pt;margin-top:0pt;height:0pt;width:0.05pt;z-index:251664384;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CX9zwAAAP8AAAAPAAAAAAAAAAEAIAAA&#10;ACIAAABkcnMvZG93bnJldi54bWxQSwECFAAUAAAACACHTuJA5gdKZKMBAAAgAwAADgAAAAAAAAAB&#10;ACAAAAAeAQAAZHJzL2Uyb0RvYy54bWxQSwUGAAAAAAYABgBZAQAAMwUAAAAA&#10;">
                <v:fill on="f" focussize="0,0"/>
                <v:stroke on="f"/>
                <v:imagedata o:title=""/>
                <o:lock v:ext="edit" aspectratio="t"/>
                <w10:anchorlock/>
              </v:rect>
            </w:pict>
          </mc:Fallback>
        </mc:AlternateContent>
      </w:r>
      <w:r>
        <w:rPr>
          <w:rFonts w:hint="eastAsia" w:ascii="仿宋_GB2312" w:hAnsi="仿宋_GB2312" w:eastAsia="仿宋_GB2312" w:cs="仿宋_GB2312"/>
          <w:color w:val="auto"/>
          <w:highlight w:val="none"/>
        </w:rPr>
        <w:t xml:space="preserve">（以下简称“本工程”）施工招标文件的全部内容后，愿按照招标文件中规定的条款和要求，完成本项目。 </w:t>
      </w:r>
    </w:p>
    <w:p>
      <w:pPr>
        <w:wordWrap w:val="0"/>
        <w:adjustRightIn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投标总报价为（大写）</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元），工期为合同生效后</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日历天，质量</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，项目负责人（项目经理）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pPr>
        <w:numPr>
          <w:ilvl w:val="0"/>
          <w:numId w:val="6"/>
        </w:numPr>
        <w:wordWrap w:val="0"/>
        <w:adjustRightInd w:val="0"/>
        <w:spacing w:line="360" w:lineRule="auto"/>
        <w:ind w:left="48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我方承诺在投标有效期</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日历天内不修改、撤销投标文件。</w:t>
      </w:r>
    </w:p>
    <w:p>
      <w:pPr>
        <w:numPr>
          <w:ilvl w:val="0"/>
          <w:numId w:val="6"/>
        </w:numPr>
        <w:wordWrap w:val="0"/>
        <w:adjustRightInd w:val="0"/>
        <w:spacing w:line="360" w:lineRule="auto"/>
        <w:ind w:left="48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val="en-US" w:eastAsia="zh-CN"/>
        </w:rPr>
        <w:t>投标保证金已按招标文件规定提交，金额为人民币（大写）</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lang w:val="en-US" w:eastAsia="zh-CN"/>
        </w:rPr>
        <w:t>（¥</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lang w:val="en-US" w:eastAsia="zh-CN"/>
        </w:rPr>
        <w:t>元）。</w:t>
      </w:r>
    </w:p>
    <w:p>
      <w:pPr>
        <w:pStyle w:val="2"/>
        <w:numPr>
          <w:ilvl w:val="0"/>
          <w:numId w:val="6"/>
        </w:numPr>
        <w:ind w:left="48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如我方中标：   </w:t>
      </w:r>
    </w:p>
    <w:p>
      <w:pPr>
        <w:wordWrap w:val="0"/>
        <w:adjustRightIn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（1）我方承诺在收到中标通知书后，在中标通知书规定的期限内与你方签订合同。 </w:t>
      </w:r>
    </w:p>
    <w:p>
      <w:pPr>
        <w:wordWrap w:val="0"/>
        <w:adjustRightIn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（2）随同本投标函递交的投标函附录属于合同文件的组成部分。 </w:t>
      </w:r>
    </w:p>
    <w:p>
      <w:pPr>
        <w:wordWrap w:val="0"/>
        <w:adjustRightIn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（3）我方承诺按照招标文件规定向你方递交履约担保。 </w:t>
      </w:r>
    </w:p>
    <w:p>
      <w:pPr>
        <w:wordWrap w:val="0"/>
        <w:adjustRightInd w:val="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（4）我方承诺在合同约定的期限内完成本项目。 </w:t>
      </w:r>
    </w:p>
    <w:p>
      <w:pPr>
        <w:numPr>
          <w:ilvl w:val="0"/>
          <w:numId w:val="6"/>
        </w:numPr>
        <w:wordWrap w:val="0"/>
        <w:adjustRightInd w:val="0"/>
        <w:spacing w:line="360" w:lineRule="auto"/>
        <w:ind w:left="48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我方在此声明，所递交的投标文件及有关资料内容完整、真实和准确。 </w:t>
      </w:r>
    </w:p>
    <w:p>
      <w:pPr>
        <w:numPr>
          <w:ilvl w:val="0"/>
          <w:numId w:val="6"/>
        </w:numPr>
        <w:wordWrap w:val="0"/>
        <w:adjustRightInd w:val="0"/>
        <w:spacing w:line="360" w:lineRule="auto"/>
        <w:ind w:left="48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 xml:space="preserve">（其他补充说明）。 </w:t>
      </w:r>
    </w:p>
    <w:p>
      <w:pPr>
        <w:pStyle w:val="20"/>
        <w:wordWrap w:val="0"/>
        <w:spacing w:after="0" w:line="360" w:lineRule="auto"/>
        <w:ind w:firstLine="420" w:firstLineChars="200"/>
        <w:rPr>
          <w:rFonts w:hint="eastAsia" w:ascii="仿宋_GB2312" w:hAnsi="仿宋_GB2312" w:eastAsia="仿宋_GB2312" w:cs="仿宋_GB2312"/>
          <w:color w:val="auto"/>
          <w:sz w:val="21"/>
          <w:szCs w:val="21"/>
          <w:highlight w:val="none"/>
        </w:rPr>
      </w:pPr>
    </w:p>
    <w:p>
      <w:pPr>
        <w:pStyle w:val="20"/>
        <w:wordWrap w:val="0"/>
        <w:spacing w:after="0" w:line="360" w:lineRule="auto"/>
        <w:ind w:firstLine="420" w:firstLineChars="200"/>
        <w:rPr>
          <w:rFonts w:hint="eastAsia" w:ascii="仿宋_GB2312" w:hAnsi="仿宋_GB2312" w:eastAsia="仿宋_GB2312" w:cs="仿宋_GB2312"/>
          <w:color w:val="auto"/>
          <w:sz w:val="21"/>
          <w:szCs w:val="21"/>
          <w:highlight w:val="none"/>
        </w:rPr>
      </w:pPr>
    </w:p>
    <w:p>
      <w:pPr>
        <w:pStyle w:val="20"/>
        <w:wordWrap w:val="0"/>
        <w:spacing w:after="0" w:line="360" w:lineRule="auto"/>
        <w:ind w:firstLine="420" w:firstLineChars="200"/>
        <w:rPr>
          <w:rFonts w:hint="eastAsia" w:ascii="仿宋_GB2312" w:hAnsi="仿宋_GB2312" w:eastAsia="仿宋_GB2312" w:cs="仿宋_GB2312"/>
          <w:color w:val="auto"/>
          <w:sz w:val="21"/>
          <w:szCs w:val="21"/>
          <w:highlight w:val="none"/>
        </w:rPr>
      </w:pPr>
    </w:p>
    <w:p>
      <w:pPr>
        <w:pStyle w:val="20"/>
        <w:wordWrap w:val="0"/>
        <w:spacing w:after="0"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投标人（</w:t>
      </w:r>
      <w:r>
        <w:rPr>
          <w:rFonts w:hint="eastAsia" w:ascii="仿宋" w:hAnsi="仿宋" w:eastAsia="仿宋" w:cs="仿宋_GB2312"/>
          <w:color w:val="auto"/>
          <w:highlight w:val="none"/>
        </w:rPr>
        <w:t>企业电子签章</w:t>
      </w:r>
      <w:r>
        <w:rPr>
          <w:rFonts w:hint="eastAsia" w:ascii="仿宋_GB2312" w:hAnsi="仿宋_GB2312" w:eastAsia="仿宋_GB2312" w:cs="仿宋_GB2312"/>
          <w:color w:val="auto"/>
          <w:highlight w:val="none"/>
        </w:rPr>
        <w:t>）：</w:t>
      </w:r>
      <w:r>
        <w:rPr>
          <w:rFonts w:hint="eastAsia" w:ascii="仿宋_GB2312" w:hAnsi="仿宋_GB2312" w:eastAsia="仿宋_GB2312" w:cs="仿宋_GB2312"/>
          <w:color w:val="auto"/>
          <w:highlight w:val="none"/>
        </w:rPr>
        <mc:AlternateContent>
          <mc:Choice Requires="wps">
            <w:drawing>
              <wp:anchor distT="0" distB="0" distL="114300" distR="114300" simplePos="0" relativeHeight="251665408" behindDoc="0" locked="1" layoutInCell="1" allowOverlap="1">
                <wp:simplePos x="0" y="0"/>
                <wp:positionH relativeFrom="column">
                  <wp:posOffset>0</wp:posOffset>
                </wp:positionH>
                <wp:positionV relativeFrom="paragraph">
                  <wp:posOffset>0</wp:posOffset>
                </wp:positionV>
                <wp:extent cx="635" cy="0"/>
                <wp:effectExtent l="0" t="0" r="0" b="0"/>
                <wp:wrapNone/>
                <wp:docPr id="8" name="自选图形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自选图形 19" o:spid="_x0000_s1026" o:spt="1" style="position:absolute;left:0pt;margin-left:0pt;margin-top:0pt;height:0pt;width:0.05pt;z-index:251665408;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CX9zwAAAP8AAAAPAAAAAAAAAAEAIAAA&#10;ACIAAABkcnMvZG93bnJldi54bWxQSwECFAAUAAAACACHTuJAYKN0MaMBAAAgAwAADgAAAAAAAAAB&#10;ACAAAAAeAQAAZHJzL2Uyb0RvYy54bWxQSwUGAAAAAAYABgBZAQAAMwUAAAAA&#10;">
                <v:fill on="f" focussize="0,0"/>
                <v:stroke on="f"/>
                <v:imagedata o:title=""/>
                <o:lock v:ext="edit" aspectratio="t"/>
                <w10:anchorlock/>
              </v:rect>
            </w:pict>
          </mc:Fallback>
        </mc:AlternateContent>
      </w:r>
      <w:r>
        <w:rPr>
          <w:rFonts w:hint="eastAsia" w:ascii="仿宋_GB2312" w:hAnsi="仿宋_GB2312" w:eastAsia="仿宋_GB2312" w:cs="仿宋_GB2312"/>
          <w:color w:val="auto"/>
          <w:highlight w:val="none"/>
        </w:rPr>
        <w:t xml:space="preserve"> </w:t>
      </w:r>
    </w:p>
    <w:p>
      <w:pPr>
        <w:pStyle w:val="20"/>
        <w:wordWrap w:val="0"/>
        <w:spacing w:after="0" w:line="360" w:lineRule="auto"/>
        <w:ind w:firstLine="480" w:firstLineChars="200"/>
        <w:rPr>
          <w:rFonts w:hint="eastAsia" w:ascii="仿宋_GB2312" w:hAnsi="仿宋_GB2312" w:eastAsia="仿宋_GB2312" w:cs="仿宋_GB2312"/>
          <w:color w:val="auto"/>
          <w:highlight w:val="none"/>
        </w:rPr>
      </w:pPr>
    </w:p>
    <w:p>
      <w:pPr>
        <w:pStyle w:val="20"/>
        <w:wordWrap w:val="0"/>
        <w:spacing w:after="0"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法定代表人或委托代理人（签字或盖个人印章）：</w:t>
      </w:r>
      <w:r>
        <w:rPr>
          <w:rFonts w:hint="eastAsia" w:ascii="仿宋_GB2312" w:hAnsi="仿宋_GB2312" w:eastAsia="仿宋_GB2312" w:cs="仿宋_GB2312"/>
          <w:color w:val="auto"/>
          <w:highlight w:val="none"/>
        </w:rPr>
        <mc:AlternateContent>
          <mc:Choice Requires="wps">
            <w:drawing>
              <wp:anchor distT="0" distB="0" distL="114300" distR="114300" simplePos="0" relativeHeight="251666432" behindDoc="0" locked="1" layoutInCell="1" allowOverlap="1">
                <wp:simplePos x="0" y="0"/>
                <wp:positionH relativeFrom="column">
                  <wp:posOffset>0</wp:posOffset>
                </wp:positionH>
                <wp:positionV relativeFrom="paragraph">
                  <wp:posOffset>0</wp:posOffset>
                </wp:positionV>
                <wp:extent cx="635" cy="0"/>
                <wp:effectExtent l="0" t="0" r="0" b="0"/>
                <wp:wrapNone/>
                <wp:docPr id="9" name="自选图形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wps:spPr>
                      <wps:bodyPr wrap="square" upright="1"/>
                    </wps:wsp>
                  </a:graphicData>
                </a:graphic>
              </wp:anchor>
            </w:drawing>
          </mc:Choice>
          <mc:Fallback>
            <w:pict>
              <v:rect id="自选图形 20" o:spid="_x0000_s1026" o:spt="1" style="position:absolute;left:0pt;margin-left:0pt;margin-top:0pt;height:0pt;width:0.05pt;z-index:251666432;mso-width-relative:page;mso-height-relative:page;"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HCX9zwAAAP8AAAAPAAAAAAAAAAEAIAAA&#10;ACIAAABkcnMvZG93bnJldi54bWxQSwECFAAUAAAACACHTuJAJIF/4aMBAAAgAwAADgAAAAAAAAAB&#10;ACAAAAAeAQAAZHJzL2Uyb0RvYy54bWxQSwUGAAAAAAYABgBZAQAAMwUAAAAA&#10;">
                <v:fill on="f" focussize="0,0"/>
                <v:stroke on="f"/>
                <v:imagedata o:title=""/>
                <o:lock v:ext="edit" aspectratio="t"/>
                <w10:anchorlock/>
              </v:rect>
            </w:pict>
          </mc:Fallback>
        </mc:AlternateContent>
      </w:r>
      <w:r>
        <w:rPr>
          <w:rFonts w:hint="eastAsia" w:ascii="仿宋_GB2312" w:hAnsi="仿宋_GB2312" w:eastAsia="仿宋_GB2312" w:cs="仿宋_GB2312"/>
          <w:color w:val="auto"/>
          <w:highlight w:val="none"/>
        </w:rPr>
        <w:t xml:space="preserve"> </w:t>
      </w:r>
    </w:p>
    <w:p>
      <w:pPr>
        <w:pStyle w:val="20"/>
        <w:wordWrap w:val="0"/>
        <w:spacing w:after="0" w:line="360" w:lineRule="auto"/>
        <w:ind w:firstLine="480" w:firstLineChars="200"/>
        <w:rPr>
          <w:rFonts w:hint="eastAsia" w:ascii="仿宋_GB2312" w:hAnsi="仿宋_GB2312" w:eastAsia="仿宋_GB2312" w:cs="仿宋_GB2312"/>
          <w:color w:val="auto"/>
          <w:highlight w:val="none"/>
        </w:rPr>
      </w:pPr>
    </w:p>
    <w:p>
      <w:pPr>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s="仿宋_GB2312"/>
          <w:color w:val="auto"/>
          <w:highlight w:val="none"/>
        </w:rPr>
        <w:t>日 期：</w:t>
      </w:r>
      <w:r>
        <w:rPr>
          <w:rFonts w:hint="eastAsia" w:ascii="仿宋_GB2312" w:hAnsi="仿宋_GB2312" w:eastAsia="仿宋_GB2312"/>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 cy="0"/>
                <wp:effectExtent l="0" t="0" r="0" b="0"/>
                <wp:wrapNone/>
                <wp:docPr id="4" name="自选图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w="9525" cap="flat" cmpd="sng">
                          <a:solidFill>
                            <a:srgbClr val="000000"/>
                          </a:solidFill>
                          <a:prstDash val="solid"/>
                          <a:round/>
                          <a:headEnd type="none" w="med" len="med"/>
                          <a:tailEnd type="none" w="med" len="med"/>
                        </a:ln>
                      </wps:spPr>
                      <wps:bodyPr wrap="square" upright="1"/>
                    </wps:wsp>
                  </a:graphicData>
                </a:graphic>
              </wp:anchor>
            </w:drawing>
          </mc:Choice>
          <mc:Fallback>
            <w:pict>
              <v:rect id="自选图形 11" o:spid="_x0000_s1026" o:spt="1" style="position:absolute;left:0pt;margin-left:0pt;margin-top:0pt;height:0pt;width:0.05pt;z-index:251661312;mso-width-relative:page;mso-height-relative:page;" filled="f" stroked="t" coordsize="21600,21600" o:gfxdata="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ZTkKnOAAAA/wAAAA8AAAAAAAAAAQAgAAAAIgAAAGRycy9kb3ducmV2LnhtbFBLAQIUABQA&#10;AAAIAIdO4kC+a8w3+gEAAN8DAAAOAAAAAAAAAAEAIAAAAB0BAABkcnMvZTJvRG9jLnhtbFBLBQYA&#10;AAAABgAGAFkBAACJBQAAAAA=&#10;">
                <v:fill on="f" focussize="0,0"/>
                <v:stroke color="#000000" joinstyle="round"/>
                <v:imagedata o:title=""/>
                <o:lock v:ext="edit" aspectratio="t"/>
              </v:rect>
            </w:pict>
          </mc:Fallback>
        </mc:AlternateContent>
      </w:r>
      <w:r>
        <w:rPr>
          <w:rFonts w:hint="eastAsia" w:ascii="仿宋_GB2312" w:hAnsi="仿宋_GB2312" w:eastAsia="仿宋_GB2312"/>
          <w:color w:val="auto"/>
          <w:highlight w:val="none"/>
        </w:rPr>
        <w:t xml:space="preserve"> </w:t>
      </w:r>
    </w:p>
    <w:p>
      <w:pPr>
        <w:snapToGrid w:val="0"/>
        <w:spacing w:before="120" w:after="120" w:line="360" w:lineRule="auto"/>
        <w:jc w:val="center"/>
        <w:outlineLvl w:val="2"/>
        <w:rPr>
          <w:rFonts w:hint="eastAsia" w:ascii="仿宋_GB2312" w:hAnsi="仿宋_GB2312" w:eastAsia="仿宋_GB2312"/>
          <w:b/>
          <w:color w:val="auto"/>
          <w:highlight w:val="none"/>
        </w:rPr>
      </w:pPr>
      <w:r>
        <w:rPr>
          <w:color w:val="auto"/>
          <w:highlight w:val="none"/>
        </w:rPr>
        <w:br w:type="page"/>
      </w:r>
      <w:r>
        <w:rPr>
          <w:rFonts w:hint="eastAsia" w:ascii="仿宋_GB2312" w:hAnsi="仿宋_GB2312" w:eastAsia="仿宋_GB2312"/>
          <w:b/>
          <w:color w:val="auto"/>
          <w:highlight w:val="none"/>
        </w:rPr>
        <w:t>（二）投标函附录一</w:t>
      </w:r>
    </w:p>
    <w:tbl>
      <w:tblPr>
        <w:tblStyle w:val="2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803"/>
        <w:gridCol w:w="2249"/>
        <w:gridCol w:w="999"/>
        <w:gridCol w:w="1514"/>
        <w:gridCol w:w="1937"/>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646" w:type="dxa"/>
            <w:gridSpan w:val="2"/>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工程名称</w:t>
            </w:r>
          </w:p>
        </w:tc>
        <w:tc>
          <w:tcPr>
            <w:tcW w:w="7642" w:type="dxa"/>
            <w:gridSpan w:val="5"/>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646" w:type="dxa"/>
            <w:gridSpan w:val="2"/>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w:t>
            </w:r>
          </w:p>
        </w:tc>
        <w:tc>
          <w:tcPr>
            <w:tcW w:w="7642" w:type="dxa"/>
            <w:gridSpan w:val="5"/>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646" w:type="dxa"/>
            <w:gridSpan w:val="2"/>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所投标段</w:t>
            </w:r>
          </w:p>
        </w:tc>
        <w:tc>
          <w:tcPr>
            <w:tcW w:w="7642" w:type="dxa"/>
            <w:gridSpan w:val="5"/>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646" w:type="dxa"/>
            <w:gridSpan w:val="2"/>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项目经理</w:t>
            </w:r>
          </w:p>
        </w:tc>
        <w:tc>
          <w:tcPr>
            <w:tcW w:w="2249" w:type="dxa"/>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999" w:type="dxa"/>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级别</w:t>
            </w:r>
          </w:p>
        </w:tc>
        <w:tc>
          <w:tcPr>
            <w:tcW w:w="1514" w:type="dxa"/>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1937" w:type="dxa"/>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资质证号</w:t>
            </w:r>
          </w:p>
        </w:tc>
        <w:tc>
          <w:tcPr>
            <w:tcW w:w="943" w:type="dxa"/>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投标范围</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3895" w:type="dxa"/>
            <w:gridSpan w:val="3"/>
            <w:vMerge w:val="restart"/>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投标总报价</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3895" w:type="dxa"/>
            <w:gridSpan w:val="3"/>
            <w:vMerge w:val="continue"/>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895" w:type="dxa"/>
            <w:gridSpan w:val="3"/>
            <w:vMerge w:val="restart"/>
            <w:noWrap w:val="0"/>
            <w:vAlign w:val="center"/>
          </w:tcPr>
          <w:p>
            <w:pPr>
              <w:spacing w:line="48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评标报价（投标总报价-不可竞争费）</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3895" w:type="dxa"/>
            <w:gridSpan w:val="3"/>
            <w:vMerge w:val="continue"/>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Merge w:val="restart"/>
            <w:noWrap w:val="0"/>
            <w:vAlign w:val="center"/>
          </w:tcPr>
          <w:p>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其中不可竞争费</w:t>
            </w:r>
          </w:p>
        </w:tc>
        <w:tc>
          <w:tcPr>
            <w:tcW w:w="3052" w:type="dxa"/>
            <w:gridSpan w:val="2"/>
            <w:tcBorders>
              <w:bottom w:val="single" w:color="auto" w:sz="4" w:space="0"/>
            </w:tcBorders>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规费（元）</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3" w:type="dxa"/>
            <w:vMerge w:val="continue"/>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3052" w:type="dxa"/>
            <w:gridSpan w:val="2"/>
            <w:tcBorders>
              <w:bottom w:val="single" w:color="auto" w:sz="4" w:space="0"/>
            </w:tcBorders>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增值税（元）</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843" w:type="dxa"/>
            <w:vMerge w:val="continue"/>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3052" w:type="dxa"/>
            <w:gridSpan w:val="2"/>
            <w:tcBorders>
              <w:bottom w:val="single" w:color="auto" w:sz="4" w:space="0"/>
            </w:tcBorders>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安全文明施工措施（元）</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843" w:type="dxa"/>
            <w:vMerge w:val="continue"/>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c>
          <w:tcPr>
            <w:tcW w:w="3052" w:type="dxa"/>
            <w:gridSpan w:val="2"/>
            <w:tcBorders>
              <w:bottom w:val="single" w:color="auto" w:sz="4" w:space="0"/>
            </w:tcBorders>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eastAsia="zh-CN"/>
              </w:rPr>
              <w:t>暂列金额</w:t>
            </w:r>
            <w:r>
              <w:rPr>
                <w:rFonts w:hint="eastAsia" w:ascii="仿宋_GB2312" w:hAnsi="仿宋_GB2312" w:eastAsia="仿宋_GB2312" w:cs="仿宋_GB2312"/>
                <w:color w:val="auto"/>
                <w:szCs w:val="21"/>
                <w:highlight w:val="none"/>
              </w:rPr>
              <w:t>（元）</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95" w:type="dxa"/>
            <w:gridSpan w:val="3"/>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措施项目费用合计（元）</w:t>
            </w:r>
          </w:p>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（含安全文明施工费）</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3895" w:type="dxa"/>
            <w:gridSpan w:val="3"/>
            <w:noWrap w:val="0"/>
            <w:vAlign w:val="center"/>
          </w:tcPr>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措施项目费用合计（元）</w:t>
            </w:r>
          </w:p>
          <w:p>
            <w:pPr>
              <w:spacing w:line="48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（不含安全文明施工费）</w:t>
            </w:r>
          </w:p>
        </w:tc>
        <w:tc>
          <w:tcPr>
            <w:tcW w:w="5393" w:type="dxa"/>
            <w:gridSpan w:val="4"/>
            <w:tcBorders>
              <w:bottom w:val="single" w:color="auto" w:sz="4" w:space="0"/>
            </w:tcBorders>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投标质量等级 </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投标工期</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投标有效期</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保修期限</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缺陷责任期</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lang w:eastAsia="zh-CN"/>
              </w:rPr>
              <w:t>主要设备质保期</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3895" w:type="dxa"/>
            <w:gridSpan w:val="3"/>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服务承诺</w:t>
            </w:r>
          </w:p>
        </w:tc>
        <w:tc>
          <w:tcPr>
            <w:tcW w:w="5393" w:type="dxa"/>
            <w:gridSpan w:val="4"/>
            <w:noWrap w:val="0"/>
            <w:vAlign w:val="center"/>
          </w:tcPr>
          <w:p>
            <w:pPr>
              <w:spacing w:line="480" w:lineRule="exact"/>
              <w:ind w:firstLine="480" w:firstLineChars="200"/>
              <w:rPr>
                <w:rFonts w:hint="eastAsia" w:ascii="仿宋_GB2312" w:hAnsi="仿宋_GB2312" w:eastAsia="仿宋_GB2312" w:cs="仿宋_GB2312"/>
                <w:color w:val="auto"/>
                <w:szCs w:val="21"/>
                <w:highlight w:val="none"/>
              </w:rPr>
            </w:pPr>
          </w:p>
        </w:tc>
      </w:tr>
    </w:tbl>
    <w:p>
      <w:pPr>
        <w:snapToGrid w:val="0"/>
        <w:spacing w:line="480" w:lineRule="exact"/>
        <w:rPr>
          <w:rFonts w:hint="eastAsia" w:ascii="仿宋_GB2312" w:hAnsi="仿宋_GB2312" w:eastAsia="仿宋_GB2312"/>
          <w:color w:val="auto"/>
          <w:highlight w:val="none"/>
        </w:rPr>
      </w:pPr>
      <w:r>
        <w:rPr>
          <w:rFonts w:hint="eastAsia" w:ascii="仿宋_GB2312" w:hAnsi="仿宋_GB2312" w:eastAsia="仿宋_GB2312"/>
          <w:b/>
          <w:color w:val="auto"/>
          <w:highlight w:val="none"/>
        </w:rPr>
        <w:t>注：安全文明施工措施费、规费、增值税</w:t>
      </w:r>
      <w:r>
        <w:rPr>
          <w:rFonts w:hint="eastAsia" w:ascii="仿宋_GB2312" w:hAnsi="仿宋_GB2312" w:eastAsia="仿宋_GB2312"/>
          <w:b/>
          <w:color w:val="auto"/>
          <w:highlight w:val="none"/>
          <w:lang w:eastAsia="zh-CN"/>
        </w:rPr>
        <w:t>、暂列金额</w:t>
      </w:r>
      <w:r>
        <w:rPr>
          <w:rFonts w:hint="eastAsia" w:ascii="仿宋_GB2312" w:hAnsi="仿宋_GB2312" w:eastAsia="仿宋_GB2312"/>
          <w:b/>
          <w:color w:val="auto"/>
          <w:highlight w:val="none"/>
        </w:rPr>
        <w:t>足额计取，不得优惠。</w:t>
      </w:r>
    </w:p>
    <w:p>
      <w:pPr>
        <w:snapToGrid w:val="0"/>
        <w:spacing w:line="360" w:lineRule="auto"/>
        <w:ind w:firstLine="3721"/>
        <w:rPr>
          <w:rFonts w:hint="eastAsia" w:ascii="仿宋_GB2312" w:hAnsi="仿宋_GB2312" w:eastAsia="仿宋_GB2312"/>
          <w:color w:val="auto"/>
          <w:highlight w:val="none"/>
        </w:rPr>
      </w:pP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w:t>
      </w:r>
      <w:r>
        <w:rPr>
          <w:rFonts w:hint="eastAsia" w:ascii="仿宋" w:hAnsi="仿宋" w:eastAsia="仿宋" w:cs="仿宋_GB2312"/>
          <w:color w:val="auto"/>
          <w:highlight w:val="none"/>
        </w:rPr>
        <w:t>企业电子签章</w:t>
      </w:r>
      <w:r>
        <w:rPr>
          <w:rFonts w:hint="eastAsia" w:ascii="仿宋_GB2312" w:hAnsi="仿宋_GB2312" w:eastAsia="仿宋_GB2312"/>
          <w:color w:val="auto"/>
          <w:highlight w:val="none"/>
        </w:rPr>
        <w:t>）：</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法定代表人或委托代理人（</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日期：</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日</w:t>
      </w: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rPr>
          <w:rFonts w:hint="eastAsia" w:ascii="仿宋_GB2312" w:hAnsi="仿宋_GB2312" w:eastAsia="仿宋_GB2312"/>
          <w:b/>
          <w:color w:val="auto"/>
          <w:highlight w:val="none"/>
        </w:rPr>
      </w:pPr>
    </w:p>
    <w:p>
      <w:pPr>
        <w:snapToGrid w:val="0"/>
        <w:spacing w:line="480" w:lineRule="exact"/>
        <w:ind w:right="120"/>
        <w:jc w:val="center"/>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rPr>
        <w:t>（三）投标函附录二</w:t>
      </w:r>
    </w:p>
    <w:p>
      <w:pPr>
        <w:snapToGrid w:val="0"/>
        <w:spacing w:line="480" w:lineRule="exact"/>
        <w:ind w:right="120"/>
        <w:jc w:val="center"/>
        <w:outlineLvl w:val="2"/>
        <w:rPr>
          <w:rFonts w:hint="eastAsia" w:ascii="仿宋_GB2312" w:hAnsi="仿宋_GB2312" w:eastAsia="仿宋_GB2312"/>
          <w:b/>
          <w:color w:val="auto"/>
          <w:highlight w:val="none"/>
        </w:rPr>
      </w:pPr>
      <w:r>
        <w:rPr>
          <w:rFonts w:hint="eastAsia" w:ascii="仿宋_GB2312" w:hAnsi="仿宋_GB2312" w:eastAsia="仿宋_GB2312"/>
          <w:b/>
          <w:color w:val="auto"/>
          <w:highlight w:val="none"/>
          <w:lang w:eastAsia="zh-CN"/>
        </w:rPr>
        <w:t>主要高低压元器件</w:t>
      </w:r>
      <w:r>
        <w:rPr>
          <w:rFonts w:hint="eastAsia" w:ascii="仿宋_GB2312" w:hAnsi="仿宋_GB2312" w:eastAsia="仿宋_GB2312"/>
          <w:b/>
          <w:color w:val="auto"/>
          <w:highlight w:val="none"/>
        </w:rPr>
        <w:t>产地来源表</w:t>
      </w:r>
    </w:p>
    <w:tbl>
      <w:tblPr>
        <w:tblStyle w:val="23"/>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018"/>
        <w:gridCol w:w="1102"/>
        <w:gridCol w:w="1186"/>
        <w:gridCol w:w="939"/>
        <w:gridCol w:w="1050"/>
        <w:gridCol w:w="750"/>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jc w:val="center"/>
        </w:trPr>
        <w:tc>
          <w:tcPr>
            <w:tcW w:w="651" w:type="dxa"/>
            <w:noWrap w:val="0"/>
            <w:tcMar>
              <w:top w:w="0" w:type="dxa"/>
              <w:left w:w="108" w:type="dxa"/>
              <w:bottom w:w="0" w:type="dxa"/>
              <w:right w:w="108" w:type="dxa"/>
            </w:tcMar>
            <w:vAlign w:val="center"/>
          </w:tcPr>
          <w:p>
            <w:pPr>
              <w:snapToGrid w:val="0"/>
              <w:spacing w:line="24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序号</w:t>
            </w:r>
          </w:p>
        </w:tc>
        <w:tc>
          <w:tcPr>
            <w:tcW w:w="2018"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名 称</w:t>
            </w:r>
          </w:p>
        </w:tc>
        <w:tc>
          <w:tcPr>
            <w:tcW w:w="1102"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品 牌</w:t>
            </w:r>
          </w:p>
        </w:tc>
        <w:tc>
          <w:tcPr>
            <w:tcW w:w="1186"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规格/型号</w:t>
            </w:r>
          </w:p>
        </w:tc>
        <w:tc>
          <w:tcPr>
            <w:tcW w:w="939"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材质</w:t>
            </w:r>
          </w:p>
        </w:tc>
        <w:tc>
          <w:tcPr>
            <w:tcW w:w="1050"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制造商</w:t>
            </w:r>
          </w:p>
        </w:tc>
        <w:tc>
          <w:tcPr>
            <w:tcW w:w="750"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产地</w:t>
            </w:r>
          </w:p>
        </w:tc>
        <w:tc>
          <w:tcPr>
            <w:tcW w:w="2036" w:type="dxa"/>
            <w:noWrap w:val="0"/>
            <w:tcMar>
              <w:top w:w="0" w:type="dxa"/>
              <w:left w:w="108" w:type="dxa"/>
              <w:bottom w:w="0" w:type="dxa"/>
              <w:right w:w="108" w:type="dxa"/>
            </w:tcMar>
            <w:vAlign w:val="center"/>
          </w:tcPr>
          <w:p>
            <w:pPr>
              <w:keepNext/>
              <w:snapToGrid w:val="0"/>
              <w:spacing w:before="120" w:after="120" w:line="260" w:lineRule="exact"/>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1</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高压开关柜</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提供检测报告和制造商技术参数证明文件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1.1</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高压真空断路器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1.2</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接地开关</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1.3</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电流互感器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1.4</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电压互感器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1.5</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避雷器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1.6</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微机综合继电保护装置</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2</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低压开关柜</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w:t>
            </w:r>
            <w:r>
              <w:rPr>
                <w:rFonts w:hint="eastAsia" w:ascii="仿宋_GB2312" w:hAnsi="仿宋_GB2312" w:eastAsia="仿宋_GB2312"/>
                <w:color w:val="auto"/>
                <w:highlight w:val="none"/>
                <w:lang w:val="en-US" w:eastAsia="zh-CN"/>
              </w:rPr>
              <w:t>3C认证证书</w:t>
            </w:r>
            <w:r>
              <w:rPr>
                <w:rFonts w:hint="eastAsia" w:ascii="仿宋_GB2312" w:hAnsi="仿宋_GB2312" w:eastAsia="仿宋_GB2312"/>
                <w:color w:val="auto"/>
                <w:highlight w:val="none"/>
                <w:lang w:eastAsia="zh-CN"/>
              </w:rPr>
              <w:t>和制造商技术参数证明文件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default"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2.1</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color w:val="auto"/>
                <w:sz w:val="24"/>
                <w:highlight w:val="none"/>
              </w:rPr>
              <w:t>断路器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3</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干式变压器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提供检测报告和制造商技术参数证明文件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4</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油式变压器</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提供检测报告和制造商技术参数证明文件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5</w:t>
            </w:r>
          </w:p>
        </w:tc>
        <w:tc>
          <w:tcPr>
            <w:tcW w:w="2018" w:type="dxa"/>
            <w:noWrap w:val="0"/>
            <w:tcMar>
              <w:top w:w="0" w:type="dxa"/>
              <w:left w:w="108" w:type="dxa"/>
              <w:bottom w:w="0" w:type="dxa"/>
              <w:right w:w="108" w:type="dxa"/>
            </w:tcMar>
            <w:vAlign w:val="center"/>
          </w:tcPr>
          <w:p>
            <w:pPr>
              <w:snapToGrid w:val="0"/>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电缆</w:t>
            </w:r>
          </w:p>
        </w:tc>
        <w:tc>
          <w:tcPr>
            <w:tcW w:w="1102" w:type="dxa"/>
            <w:noWrap w:val="0"/>
            <w:tcMar>
              <w:top w:w="0" w:type="dxa"/>
              <w:left w:w="108" w:type="dxa"/>
              <w:bottom w:w="0" w:type="dxa"/>
              <w:right w:w="108" w:type="dxa"/>
            </w:tcMar>
            <w:vAlign w:val="center"/>
          </w:tcPr>
          <w:p>
            <w:pPr>
              <w:snapToGrid w:val="0"/>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6</w:t>
            </w:r>
          </w:p>
        </w:tc>
        <w:tc>
          <w:tcPr>
            <w:tcW w:w="2018"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s="仿宋_GB2312"/>
                <w:b/>
                <w:bCs/>
                <w:color w:val="auto"/>
                <w:sz w:val="24"/>
                <w:highlight w:val="none"/>
              </w:rPr>
              <w:t>配电箱</w:t>
            </w:r>
          </w:p>
        </w:tc>
        <w:tc>
          <w:tcPr>
            <w:tcW w:w="1102"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28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lang w:eastAsia="zh-CN"/>
              </w:rPr>
              <w:t>提供制造商技术参数证明文件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651"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w:t>
            </w:r>
          </w:p>
        </w:tc>
        <w:tc>
          <w:tcPr>
            <w:tcW w:w="2018"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1102"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1186"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939"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1050"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750"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c>
          <w:tcPr>
            <w:tcW w:w="2036" w:type="dxa"/>
            <w:noWrap w:val="0"/>
            <w:tcMar>
              <w:top w:w="0" w:type="dxa"/>
              <w:left w:w="108" w:type="dxa"/>
              <w:bottom w:w="0" w:type="dxa"/>
              <w:right w:w="108" w:type="dxa"/>
            </w:tcMar>
            <w:vAlign w:val="center"/>
          </w:tcPr>
          <w:p>
            <w:pPr>
              <w:snapToGrid w:val="0"/>
              <w:spacing w:line="320" w:lineRule="exact"/>
              <w:jc w:val="center"/>
              <w:rPr>
                <w:rFonts w:hint="eastAsia" w:ascii="仿宋_GB2312" w:hAnsi="仿宋_GB2312" w:eastAsia="仿宋_GB2312"/>
                <w:color w:val="auto"/>
                <w:highlight w:val="none"/>
              </w:rPr>
            </w:pPr>
          </w:p>
        </w:tc>
      </w:tr>
    </w:tbl>
    <w:p>
      <w:pPr>
        <w:snapToGrid w:val="0"/>
        <w:spacing w:line="40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备注：</w:t>
      </w:r>
      <w:r>
        <w:rPr>
          <w:rFonts w:hint="eastAsia" w:ascii="仿宋_GB2312" w:hAnsi="仿宋_GB2312" w:eastAsia="仿宋_GB2312"/>
          <w:color w:val="auto"/>
          <w:highlight w:val="none"/>
          <w:lang w:eastAsia="zh-CN"/>
        </w:rPr>
        <w:t>序号可自行修改，</w:t>
      </w:r>
      <w:r>
        <w:rPr>
          <w:rFonts w:hint="eastAsia" w:ascii="仿宋_GB2312" w:hAnsi="仿宋_GB2312" w:eastAsia="仿宋_GB2312"/>
          <w:b/>
          <w:color w:val="auto"/>
          <w:highlight w:val="none"/>
          <w:lang w:eastAsia="zh-CN"/>
        </w:rPr>
        <w:t>主要高低压元器件名称建议按设备清单不同型号分别列出或备注，</w:t>
      </w:r>
      <w:r>
        <w:rPr>
          <w:rFonts w:hint="eastAsia" w:ascii="仿宋_GB2312" w:hAnsi="仿宋_GB2312" w:eastAsia="仿宋_GB2312"/>
          <w:color w:val="auto"/>
          <w:highlight w:val="none"/>
        </w:rPr>
        <w:t>表格不足可自行扩展</w:t>
      </w:r>
      <w:r>
        <w:rPr>
          <w:rFonts w:hint="eastAsia" w:ascii="仿宋_GB2312" w:hAnsi="仿宋_GB2312" w:eastAsia="仿宋_GB2312"/>
          <w:color w:val="auto"/>
          <w:highlight w:val="none"/>
          <w:lang w:eastAsia="zh-CN"/>
        </w:rPr>
        <w:t>，元器件可比表中列出的更明细，制造商技术参数证明文件可以是单独出具的制造商技术参数功能证明函（加盖制造商公章）或制造商官方印刷发行的彩页（加盖制造商公章）</w:t>
      </w:r>
      <w:r>
        <w:rPr>
          <w:rFonts w:hint="eastAsia" w:ascii="仿宋_GB2312" w:hAnsi="仿宋_GB2312" w:eastAsia="仿宋_GB2312"/>
          <w:color w:val="auto"/>
          <w:highlight w:val="none"/>
        </w:rPr>
        <w:t>。</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w:t>
      </w:r>
      <w:r>
        <w:rPr>
          <w:rFonts w:hint="eastAsia" w:ascii="仿宋" w:hAnsi="仿宋" w:eastAsia="仿宋" w:cs="仿宋_GB2312"/>
          <w:color w:val="auto"/>
          <w:highlight w:val="none"/>
        </w:rPr>
        <w:t>企业电子签章</w:t>
      </w:r>
      <w:r>
        <w:rPr>
          <w:rFonts w:hint="eastAsia" w:ascii="仿宋_GB2312" w:hAnsi="仿宋_GB2312" w:eastAsia="仿宋_GB2312"/>
          <w:color w:val="auto"/>
          <w:highlight w:val="none"/>
        </w:rPr>
        <w:t>）：</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法定代表人或委托代理人（</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日期：</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日</w:t>
      </w:r>
    </w:p>
    <w:p>
      <w:pPr>
        <w:pStyle w:val="2"/>
        <w:rPr>
          <w:rFonts w:hint="eastAsia"/>
          <w:color w:val="auto"/>
          <w:highlight w:val="none"/>
        </w:rPr>
      </w:pPr>
    </w:p>
    <w:p>
      <w:pPr>
        <w:autoSpaceDE w:val="0"/>
        <w:autoSpaceDN w:val="0"/>
        <w:snapToGrid w:val="0"/>
        <w:spacing w:line="360" w:lineRule="auto"/>
        <w:jc w:val="center"/>
        <w:outlineLvl w:val="1"/>
        <w:rPr>
          <w:rFonts w:hint="eastAsia" w:ascii="仿宋_GB2312" w:hAnsi="仿宋_GB2312" w:eastAsia="仿宋_GB2312"/>
          <w:color w:val="auto"/>
          <w:highlight w:val="none"/>
        </w:rPr>
      </w:pPr>
      <w:bookmarkStart w:id="61" w:name="_Toc20906"/>
      <w:r>
        <w:rPr>
          <w:rFonts w:hint="eastAsia" w:ascii="仿宋_GB2312" w:hAnsi="仿宋_GB2312" w:eastAsia="仿宋_GB2312"/>
          <w:color w:val="auto"/>
          <w:highlight w:val="none"/>
        </w:rPr>
        <w:t>二、法定代表人身份证明及授权委托书</w:t>
      </w:r>
      <w:bookmarkEnd w:id="61"/>
    </w:p>
    <w:p>
      <w:pPr>
        <w:autoSpaceDE w:val="0"/>
        <w:autoSpaceDN w:val="0"/>
        <w:snapToGrid w:val="0"/>
        <w:spacing w:line="360" w:lineRule="auto"/>
        <w:jc w:val="center"/>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(一) 法定代表人身份证明</w:t>
      </w:r>
    </w:p>
    <w:p>
      <w:pPr>
        <w:autoSpaceDE w:val="0"/>
        <w:autoSpaceDN w:val="0"/>
        <w:snapToGrid w:val="0"/>
        <w:spacing w:line="360" w:lineRule="auto"/>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投标人名称：</w:t>
      </w:r>
      <w:r>
        <w:rPr>
          <w:rFonts w:hint="eastAsia" w:ascii="仿宋_GB2312" w:hAnsi="仿宋_GB2312" w:eastAsia="仿宋_GB2312"/>
          <w:color w:val="auto"/>
          <w:highlight w:val="none"/>
          <w:u w:val="single"/>
        </w:rPr>
        <w:t xml:space="preserve">                          </w:t>
      </w:r>
    </w:p>
    <w:p>
      <w:pPr>
        <w:autoSpaceDE w:val="0"/>
        <w:autoSpaceDN w:val="0"/>
        <w:snapToGrid w:val="0"/>
        <w:spacing w:line="360" w:lineRule="auto"/>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单位性质：</w:t>
      </w:r>
      <w:r>
        <w:rPr>
          <w:rFonts w:hint="eastAsia" w:ascii="仿宋_GB2312" w:hAnsi="仿宋_GB2312" w:eastAsia="仿宋_GB2312"/>
          <w:color w:val="auto"/>
          <w:highlight w:val="none"/>
          <w:u w:val="single"/>
        </w:rPr>
        <w:t xml:space="preserve">                            </w:t>
      </w:r>
    </w:p>
    <w:p>
      <w:pPr>
        <w:autoSpaceDE w:val="0"/>
        <w:autoSpaceDN w:val="0"/>
        <w:snapToGrid w:val="0"/>
        <w:spacing w:line="360" w:lineRule="auto"/>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地址：</w:t>
      </w:r>
      <w:r>
        <w:rPr>
          <w:rFonts w:hint="eastAsia" w:ascii="仿宋_GB2312" w:hAnsi="仿宋_GB2312" w:eastAsia="仿宋_GB2312"/>
          <w:color w:val="auto"/>
          <w:highlight w:val="none"/>
          <w:u w:val="single"/>
        </w:rPr>
        <w:t xml:space="preserve">                                 </w:t>
      </w:r>
    </w:p>
    <w:p>
      <w:pPr>
        <w:autoSpaceDE w:val="0"/>
        <w:autoSpaceDN w:val="0"/>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成立时间：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日</w:t>
      </w:r>
    </w:p>
    <w:p>
      <w:pPr>
        <w:autoSpaceDE w:val="0"/>
        <w:autoSpaceDN w:val="0"/>
        <w:snapToGrid w:val="0"/>
        <w:spacing w:line="360" w:lineRule="auto"/>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经营期限：</w:t>
      </w:r>
      <w:r>
        <w:rPr>
          <w:rFonts w:hint="eastAsia" w:ascii="仿宋_GB2312" w:hAnsi="仿宋_GB2312" w:eastAsia="仿宋_GB2312"/>
          <w:color w:val="auto"/>
          <w:highlight w:val="none"/>
          <w:u w:val="single"/>
        </w:rPr>
        <w:t xml:space="preserve">                          </w:t>
      </w:r>
    </w:p>
    <w:p>
      <w:pPr>
        <w:autoSpaceDE w:val="0"/>
        <w:autoSpaceDN w:val="0"/>
        <w:snapToGrid w:val="0"/>
        <w:spacing w:line="360" w:lineRule="auto"/>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姓名：</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性别：</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年龄：</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 xml:space="preserve"> 职务：</w:t>
      </w:r>
      <w:r>
        <w:rPr>
          <w:rFonts w:hint="eastAsia" w:ascii="仿宋_GB2312" w:hAnsi="仿宋_GB2312" w:eastAsia="仿宋_GB2312"/>
          <w:color w:val="auto"/>
          <w:highlight w:val="none"/>
          <w:u w:val="single"/>
        </w:rPr>
        <w:t xml:space="preserve">         </w:t>
      </w:r>
    </w:p>
    <w:p>
      <w:pPr>
        <w:autoSpaceDE w:val="0"/>
        <w:autoSpaceDN w:val="0"/>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系</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（投标人名称）的法定代表人。</w:t>
      </w:r>
    </w:p>
    <w:p>
      <w:pPr>
        <w:autoSpaceDE w:val="0"/>
        <w:autoSpaceDN w:val="0"/>
        <w:snapToGrid w:val="0"/>
        <w:spacing w:line="360" w:lineRule="auto"/>
        <w:ind w:firstLine="428"/>
        <w:rPr>
          <w:rFonts w:hint="eastAsia" w:ascii="仿宋_GB2312" w:hAnsi="仿宋_GB2312" w:eastAsia="仿宋_GB2312"/>
          <w:color w:val="auto"/>
          <w:highlight w:val="none"/>
        </w:rPr>
      </w:pP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特此证明。</w:t>
      </w:r>
    </w:p>
    <w:p>
      <w:pPr>
        <w:autoSpaceDE w:val="0"/>
        <w:autoSpaceDN w:val="0"/>
        <w:snapToGrid w:val="0"/>
        <w:spacing w:line="360" w:lineRule="auto"/>
        <w:ind w:right="960"/>
        <w:rPr>
          <w:rFonts w:hint="eastAsia" w:ascii="仿宋_GB2312" w:hAnsi="仿宋_GB2312" w:eastAsia="仿宋_GB2312"/>
          <w:color w:val="auto"/>
          <w:highlight w:val="none"/>
        </w:rPr>
      </w:pPr>
    </w:p>
    <w:p>
      <w:pPr>
        <w:autoSpaceDE w:val="0"/>
        <w:autoSpaceDN w:val="0"/>
        <w:snapToGrid w:val="0"/>
        <w:spacing w:line="360" w:lineRule="auto"/>
        <w:ind w:right="96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（企业电子签章）</w:t>
      </w:r>
    </w:p>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日</w:t>
      </w:r>
    </w:p>
    <w:p>
      <w:pPr>
        <w:autoSpaceDE w:val="0"/>
        <w:autoSpaceDN w:val="0"/>
        <w:snapToGrid w:val="0"/>
        <w:spacing w:line="360" w:lineRule="auto"/>
        <w:ind w:right="960"/>
        <w:rPr>
          <w:rFonts w:hint="eastAsia" w:ascii="仿宋_GB2312" w:hAnsi="仿宋_GB2312" w:eastAsia="仿宋_GB2312"/>
          <w:color w:val="auto"/>
          <w:highlight w:val="none"/>
        </w:rPr>
      </w:pPr>
    </w:p>
    <w:p>
      <w:pPr>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jc w:val="center"/>
        <w:outlineLvl w:val="2"/>
        <w:rPr>
          <w:rFonts w:hint="eastAsia" w:ascii="仿宋_GB2312" w:hAnsi="仿宋_GB2312" w:eastAsia="仿宋_GB2312"/>
          <w:color w:val="auto"/>
          <w:highlight w:val="none"/>
        </w:rPr>
      </w:pPr>
      <w:r>
        <w:rPr>
          <w:color w:val="auto"/>
          <w:highlight w:val="none"/>
        </w:rPr>
        <w:br w:type="page"/>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二</w:t>
      </w:r>
      <w:r>
        <w:rPr>
          <w:rFonts w:hint="eastAsia" w:ascii="仿宋_GB2312" w:hAnsi="仿宋_GB2312" w:eastAsia="仿宋_GB2312"/>
          <w:color w:val="auto"/>
          <w:highlight w:val="none"/>
        </w:rPr>
        <w:t>) 授权委托书</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本人</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（姓名）系</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（投标人名称）的法定代表人，现委托</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（姓名）为我方代理人。代理人根据授权，以我方名义签署、澄清、说明、补正、递交、撤回、修改</w:t>
      </w:r>
      <w:r>
        <w:rPr>
          <w:rFonts w:hint="eastAsia" w:ascii="仿宋_GB2312" w:hAnsi="仿宋_GB2312" w:eastAsia="仿宋_GB2312"/>
          <w:color w:val="auto"/>
          <w:highlight w:val="none"/>
          <w:u w:val="single"/>
        </w:rPr>
        <w:t xml:space="preserve">     (项目名称)        </w:t>
      </w:r>
      <w:r>
        <w:rPr>
          <w:rFonts w:hint="eastAsia" w:ascii="仿宋_GB2312" w:hAnsi="仿宋_GB2312" w:eastAsia="仿宋_GB2312"/>
          <w:color w:val="auto"/>
          <w:highlight w:val="none"/>
        </w:rPr>
        <w:t>投标文件、签订合同和处理有关事宜，其法律后果由我方承担。</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委托期限：</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代理人无转委托权。</w:t>
      </w:r>
    </w:p>
    <w:p>
      <w:pPr>
        <w:tabs>
          <w:tab w:val="left" w:pos="3560"/>
        </w:tabs>
        <w:snapToGrid w:val="0"/>
        <w:spacing w:line="360" w:lineRule="auto"/>
        <w:rPr>
          <w:rFonts w:hint="eastAsia" w:ascii="仿宋_GB2312" w:hAnsi="仿宋_GB2312" w:eastAsia="仿宋_GB2312"/>
          <w:color w:val="auto"/>
          <w:highlight w:val="none"/>
        </w:rPr>
      </w:pPr>
    </w:p>
    <w:p>
      <w:pPr>
        <w:autoSpaceDE w:val="0"/>
        <w:autoSpaceDN w:val="0"/>
        <w:snapToGrid w:val="0"/>
        <w:spacing w:line="44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投  标  人： </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（企业电子签章）</w:t>
      </w:r>
    </w:p>
    <w:p>
      <w:pPr>
        <w:autoSpaceDE w:val="0"/>
        <w:autoSpaceDN w:val="0"/>
        <w:snapToGrid w:val="0"/>
        <w:spacing w:line="44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 xml:space="preserve"> （</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autoSpaceDE w:val="0"/>
        <w:autoSpaceDN w:val="0"/>
        <w:snapToGrid w:val="0"/>
        <w:spacing w:line="440" w:lineRule="exact"/>
        <w:rPr>
          <w:rFonts w:hint="eastAsia" w:ascii="仿宋_GB2312" w:hAnsi="仿宋_GB2312" w:eastAsia="仿宋_GB2312"/>
          <w:color w:val="auto"/>
          <w:highlight w:val="none"/>
        </w:rPr>
      </w:pPr>
    </w:p>
    <w:p>
      <w:pPr>
        <w:autoSpaceDE w:val="0"/>
        <w:autoSpaceDN w:val="0"/>
        <w:snapToGrid w:val="0"/>
        <w:spacing w:line="440" w:lineRule="exact"/>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委托代理人：</w:t>
      </w:r>
      <w:r>
        <w:rPr>
          <w:rFonts w:hint="eastAsia" w:ascii="仿宋_GB2312" w:hAnsi="仿宋_GB2312" w:eastAsia="仿宋_GB2312"/>
          <w:color w:val="auto"/>
          <w:highlight w:val="none"/>
          <w:u w:val="single"/>
        </w:rPr>
        <w:t xml:space="preserve">                                </w:t>
      </w:r>
    </w:p>
    <w:p>
      <w:pPr>
        <w:autoSpaceDE w:val="0"/>
        <w:autoSpaceDN w:val="0"/>
        <w:snapToGrid w:val="0"/>
        <w:spacing w:line="440" w:lineRule="exact"/>
        <w:rPr>
          <w:rFonts w:hint="eastAsia" w:ascii="仿宋_GB2312" w:hAnsi="仿宋_GB2312" w:eastAsia="仿宋_GB2312"/>
          <w:color w:val="auto"/>
          <w:highlight w:val="none"/>
          <w:u w:val="single"/>
        </w:rPr>
      </w:pPr>
      <w:r>
        <w:rPr>
          <w:rFonts w:hint="eastAsia" w:ascii="仿宋_GB2312" w:hAnsi="仿宋_GB2312" w:eastAsia="仿宋_GB2312"/>
          <w:color w:val="auto"/>
          <w:highlight w:val="none"/>
        </w:rPr>
        <w:t>身份证号码：</w:t>
      </w:r>
      <w:r>
        <w:rPr>
          <w:rFonts w:hint="eastAsia" w:ascii="仿宋_GB2312" w:hAnsi="仿宋_GB2312" w:eastAsia="仿宋_GB2312"/>
          <w:color w:val="auto"/>
          <w:highlight w:val="none"/>
          <w:u w:val="single"/>
        </w:rPr>
        <w:t xml:space="preserve">                               </w:t>
      </w:r>
    </w:p>
    <w:p>
      <w:pPr>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年</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月</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日</w:t>
      </w:r>
    </w:p>
    <w:p>
      <w:pPr>
        <w:snapToGrid w:val="0"/>
        <w:spacing w:line="360" w:lineRule="auto"/>
        <w:rPr>
          <w:rFonts w:hint="eastAsia" w:ascii="仿宋_GB2312" w:hAnsi="仿宋_GB2312" w:eastAsia="仿宋_GB2312"/>
          <w:color w:val="auto"/>
          <w:highlight w:val="none"/>
        </w:rPr>
      </w:pPr>
    </w:p>
    <w:p>
      <w:pPr>
        <w:snapToGrid w:val="0"/>
        <w:rPr>
          <w:rFonts w:hint="eastAsia" w:ascii="仿宋_GB2312" w:hAnsi="仿宋_GB2312" w:eastAsia="仿宋_GB2312"/>
          <w:color w:val="auto"/>
          <w:highlight w:val="none"/>
        </w:rPr>
      </w:pPr>
      <w:r>
        <w:rPr>
          <w:rFonts w:hint="eastAsia" w:ascii="仿宋_GB2312" w:hAnsi="仿宋_GB2312" w:eastAsia="仿宋_GB2312"/>
          <w:color w:val="auto"/>
          <w:highlight w:val="none"/>
        </w:rPr>
        <w:t>附：法定代表人、委托代理人身份证（双面）复印件</w:t>
      </w:r>
    </w:p>
    <w:p>
      <w:pPr>
        <w:snapToGrid w:val="0"/>
        <w:spacing w:line="360" w:lineRule="auto"/>
        <w:rPr>
          <w:rFonts w:hint="eastAsia" w:ascii="仿宋_GB2312" w:hAnsi="仿宋_GB2312" w:eastAsia="仿宋_GB2312"/>
          <w:color w:val="auto"/>
          <w:highlight w:val="none"/>
        </w:rPr>
      </w:pPr>
    </w:p>
    <w:p>
      <w:pPr>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jc w:val="center"/>
        <w:outlineLvl w:val="1"/>
        <w:rPr>
          <w:rFonts w:hint="eastAsia" w:ascii="仿宋_GB2312" w:hAnsi="仿宋_GB2312" w:eastAsia="仿宋_GB2312"/>
          <w:color w:val="auto"/>
          <w:highlight w:val="none"/>
        </w:rPr>
      </w:pPr>
      <w:r>
        <w:rPr>
          <w:color w:val="auto"/>
          <w:highlight w:val="none"/>
        </w:rPr>
        <w:br w:type="page"/>
      </w:r>
      <w:bookmarkStart w:id="62" w:name="_Toc17007"/>
      <w:r>
        <w:rPr>
          <w:rFonts w:hint="eastAsia" w:ascii="仿宋_GB2312" w:hAnsi="仿宋_GB2312" w:eastAsia="仿宋_GB2312"/>
          <w:color w:val="auto"/>
          <w:highlight w:val="none"/>
        </w:rPr>
        <w:t>三、</w:t>
      </w:r>
      <w:r>
        <w:rPr>
          <w:rFonts w:hint="eastAsia" w:ascii="仿宋" w:hAnsi="仿宋" w:eastAsia="仿宋" w:cs="仿宋_GB2312"/>
          <w:color w:val="auto"/>
          <w:highlight w:val="none"/>
          <w:lang w:eastAsia="zh-CN"/>
        </w:rPr>
        <w:t>投标保证金缴纳证明</w:t>
      </w:r>
      <w:bookmarkEnd w:id="62"/>
    </w:p>
    <w:p>
      <w:pPr>
        <w:snapToGrid w:val="0"/>
        <w:spacing w:line="360" w:lineRule="auto"/>
        <w:ind w:left="120"/>
        <w:rPr>
          <w:rFonts w:hint="eastAsia" w:ascii="仿宋_GB2312" w:hAnsi="仿宋_GB2312" w:eastAsia="仿宋_GB2312"/>
          <w:color w:val="auto"/>
          <w:highlight w:val="none"/>
        </w:rPr>
      </w:pPr>
    </w:p>
    <w:p>
      <w:pPr>
        <w:snapToGrid w:val="0"/>
        <w:spacing w:line="360" w:lineRule="auto"/>
        <w:ind w:left="1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val="en-US" w:eastAsia="zh-CN"/>
        </w:rPr>
        <w:t>1、</w:t>
      </w:r>
      <w:r>
        <w:rPr>
          <w:rFonts w:hint="eastAsia" w:ascii="仿宋_GB2312" w:hAnsi="仿宋_GB2312" w:eastAsia="仿宋_GB2312"/>
          <w:color w:val="auto"/>
          <w:highlight w:val="none"/>
          <w:lang w:eastAsia="zh-CN"/>
        </w:rPr>
        <w:t>以转账形式提交投标保证金的提供转账凭证和基本账户开户许可证或基本账户开户信息，金额及递交时间满足招标文件规定。</w:t>
      </w:r>
    </w:p>
    <w:p>
      <w:pPr>
        <w:snapToGrid w:val="0"/>
        <w:spacing w:line="360" w:lineRule="auto"/>
        <w:ind w:left="120"/>
        <w:rPr>
          <w:rFonts w:hint="eastAsia" w:ascii="仿宋_GB2312" w:hAnsi="仿宋_GB2312" w:eastAsia="仿宋_GB2312"/>
          <w:color w:val="auto"/>
          <w:highlight w:val="none"/>
        </w:rPr>
      </w:pPr>
      <w:r>
        <w:rPr>
          <w:rFonts w:hint="eastAsia" w:ascii="仿宋_GB2312" w:hAnsi="仿宋_GB2312" w:eastAsia="仿宋_GB2312"/>
          <w:color w:val="auto"/>
          <w:highlight w:val="none"/>
          <w:lang w:val="en-US" w:eastAsia="zh-CN"/>
        </w:rPr>
        <w:t>2、</w:t>
      </w:r>
      <w:r>
        <w:rPr>
          <w:rFonts w:hint="eastAsia" w:ascii="仿宋_GB2312" w:hAnsi="仿宋_GB2312" w:eastAsia="仿宋_GB2312"/>
          <w:color w:val="auto"/>
          <w:highlight w:val="none"/>
          <w:lang w:eastAsia="zh-CN"/>
        </w:rPr>
        <w:t>以电子投标保函形式提交的须满足招标文件对电子保函的有关规定。</w:t>
      </w:r>
    </w:p>
    <w:p>
      <w:pPr>
        <w:snapToGrid w:val="0"/>
        <w:spacing w:line="360" w:lineRule="auto"/>
        <w:rPr>
          <w:rFonts w:hint="eastAsia" w:ascii="仿宋_GB2312" w:hAnsi="仿宋_GB2312" w:eastAsia="仿宋_GB2312"/>
          <w:color w:val="auto"/>
          <w:highlight w:val="none"/>
        </w:rPr>
      </w:pPr>
    </w:p>
    <w:p>
      <w:pPr>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jc w:val="center"/>
        <w:rPr>
          <w:color w:val="auto"/>
          <w:highlight w:val="none"/>
        </w:rPr>
      </w:pPr>
      <w:r>
        <w:rPr>
          <w:color w:val="auto"/>
          <w:highlight w:val="none"/>
        </w:rPr>
        <w:br w:type="page"/>
      </w:r>
    </w:p>
    <w:p>
      <w:pPr>
        <w:autoSpaceDE w:val="0"/>
        <w:autoSpaceDN w:val="0"/>
        <w:snapToGrid w:val="0"/>
        <w:spacing w:line="360" w:lineRule="auto"/>
        <w:jc w:val="center"/>
        <w:rPr>
          <w:color w:val="auto"/>
          <w:highlight w:val="none"/>
        </w:rPr>
      </w:pPr>
    </w:p>
    <w:p>
      <w:pPr>
        <w:autoSpaceDE w:val="0"/>
        <w:autoSpaceDN w:val="0"/>
        <w:snapToGrid w:val="0"/>
        <w:spacing w:line="360" w:lineRule="auto"/>
        <w:jc w:val="center"/>
        <w:outlineLvl w:val="1"/>
        <w:rPr>
          <w:rFonts w:hint="eastAsia" w:ascii="仿宋_GB2312" w:hAnsi="仿宋_GB2312" w:eastAsia="仿宋_GB2312"/>
          <w:color w:val="auto"/>
          <w:highlight w:val="none"/>
        </w:rPr>
      </w:pPr>
      <w:bookmarkStart w:id="63" w:name="_Toc20195"/>
      <w:r>
        <w:rPr>
          <w:rFonts w:hint="eastAsia" w:ascii="仿宋_GB2312" w:hAnsi="仿宋_GB2312" w:eastAsia="仿宋_GB2312"/>
          <w:color w:val="auto"/>
          <w:highlight w:val="none"/>
        </w:rPr>
        <w:t>四、已标价工程量清单</w:t>
      </w:r>
      <w:bookmarkEnd w:id="63"/>
    </w:p>
    <w:p>
      <w:pPr>
        <w:snapToGrid w:val="0"/>
        <w:spacing w:before="240" w:after="120"/>
        <w:ind w:firstLine="422"/>
        <w:rPr>
          <w:rFonts w:hint="eastAsia" w:ascii="仿宋_GB2312" w:hAnsi="仿宋_GB2312" w:eastAsia="仿宋_GB2312"/>
          <w:b/>
          <w:color w:val="auto"/>
          <w:highlight w:val="none"/>
        </w:rPr>
      </w:pPr>
    </w:p>
    <w:p>
      <w:pPr>
        <w:autoSpaceDE w:val="0"/>
        <w:autoSpaceDN w:val="0"/>
        <w:snapToGrid w:val="0"/>
        <w:spacing w:line="360" w:lineRule="auto"/>
        <w:rPr>
          <w:rFonts w:hint="eastAsia" w:ascii="仿宋_GB2312" w:hAnsi="仿宋_GB2312" w:eastAsia="仿宋_GB2312"/>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textAlignment w:val="auto"/>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注：</w:t>
      </w:r>
      <w:r>
        <w:rPr>
          <w:rFonts w:hint="eastAsia" w:ascii="仿宋_GB2312" w:hAnsi="仿宋_GB2312" w:eastAsia="仿宋_GB2312"/>
          <w:color w:val="auto"/>
          <w:highlight w:val="none"/>
        </w:rPr>
        <w:t>已标价工程量清单封面</w:t>
      </w:r>
      <w:r>
        <w:rPr>
          <w:rFonts w:hint="eastAsia" w:ascii="仿宋_GB2312" w:hAnsi="仿宋_GB2312" w:eastAsia="仿宋_GB2312"/>
          <w:color w:val="auto"/>
          <w:highlight w:val="none"/>
          <w:lang w:eastAsia="zh-CN"/>
        </w:rPr>
        <w:t>（投标总价）必须</w:t>
      </w:r>
      <w:r>
        <w:rPr>
          <w:rFonts w:hint="eastAsia" w:ascii="仿宋_GB2312" w:hAnsi="仿宋_GB2312" w:eastAsia="仿宋_GB2312"/>
          <w:color w:val="auto"/>
          <w:highlight w:val="none"/>
        </w:rPr>
        <w:t>加盖投标人公章、法定代表人或其</w:t>
      </w:r>
      <w:r>
        <w:rPr>
          <w:rFonts w:hint="eastAsia" w:ascii="仿宋_GB2312" w:hAnsi="仿宋_GB2312" w:eastAsia="仿宋_GB2312"/>
          <w:color w:val="auto"/>
          <w:highlight w:val="none"/>
          <w:lang w:eastAsia="zh-CN"/>
        </w:rPr>
        <w:t>委托代理人</w:t>
      </w:r>
      <w:r>
        <w:rPr>
          <w:rFonts w:hint="eastAsia" w:ascii="仿宋_GB2312" w:hAnsi="仿宋_GB2312" w:eastAsia="仿宋_GB2312"/>
          <w:color w:val="auto"/>
          <w:highlight w:val="none"/>
        </w:rPr>
        <w:t>的</w:t>
      </w:r>
      <w:r>
        <w:rPr>
          <w:rFonts w:hint="eastAsia" w:ascii="仿宋_GB2312" w:hAnsi="仿宋_GB2312" w:eastAsia="仿宋_GB2312"/>
          <w:color w:val="auto"/>
          <w:highlight w:val="none"/>
          <w:lang w:eastAsia="zh-CN"/>
        </w:rPr>
        <w:t>个人</w:t>
      </w:r>
      <w:r>
        <w:rPr>
          <w:rFonts w:hint="eastAsia" w:ascii="仿宋_GB2312" w:hAnsi="仿宋_GB2312" w:eastAsia="仿宋_GB2312"/>
          <w:color w:val="auto"/>
          <w:highlight w:val="none"/>
        </w:rPr>
        <w:t>印章或签字、注册在本单位的造价人员执业资格专用章及签字。如本单位无造价人员，应委托具有相应造价资质的中介机构编制工程量清单报价并加盖其注册造价人员执业资格专用章和签字、中介机构资质章和公章。委托代理人、</w:t>
      </w:r>
      <w:r>
        <w:rPr>
          <w:rFonts w:hint="eastAsia" w:ascii="仿宋_GB2312" w:hAnsi="仿宋_GB2312" w:eastAsia="仿宋_GB2312"/>
          <w:color w:val="auto"/>
          <w:highlight w:val="none"/>
          <w:lang w:eastAsia="zh-CN"/>
        </w:rPr>
        <w:t>造价人员</w:t>
      </w:r>
      <w:r>
        <w:rPr>
          <w:rFonts w:hint="eastAsia" w:ascii="仿宋_GB2312" w:hAnsi="仿宋_GB2312" w:eastAsia="仿宋_GB2312"/>
          <w:color w:val="auto"/>
          <w:highlight w:val="none"/>
        </w:rPr>
        <w:t>或委托的造价中介机构等若未办理 CA 锁，则需上传手动签字</w:t>
      </w:r>
      <w:r>
        <w:rPr>
          <w:rFonts w:hint="eastAsia" w:ascii="仿宋_GB2312" w:hAnsi="仿宋_GB2312" w:eastAsia="仿宋_GB2312"/>
          <w:color w:val="auto"/>
          <w:highlight w:val="none"/>
          <w:lang w:eastAsia="zh-CN"/>
        </w:rPr>
        <w:t>（盖章）</w:t>
      </w:r>
      <w:r>
        <w:rPr>
          <w:rFonts w:hint="eastAsia" w:ascii="仿宋_GB2312" w:hAnsi="仿宋_GB2312" w:eastAsia="仿宋_GB2312"/>
          <w:color w:val="auto"/>
          <w:highlight w:val="none"/>
        </w:rPr>
        <w:t>的扫描件</w:t>
      </w:r>
      <w:r>
        <w:rPr>
          <w:rFonts w:hint="eastAsia" w:ascii="仿宋_GB2312" w:hAnsi="仿宋_GB2312" w:eastAsia="仿宋_GB2312"/>
          <w:color w:val="auto"/>
          <w:highlight w:val="none"/>
          <w:lang w:eastAsia="zh-CN"/>
        </w:rPr>
        <w:t>，</w:t>
      </w:r>
      <w:r>
        <w:rPr>
          <w:rFonts w:hint="eastAsia" w:ascii="仿宋_GB2312" w:hAnsi="仿宋_GB2312" w:eastAsia="仿宋_GB2312"/>
          <w:color w:val="auto"/>
          <w:highlight w:val="none"/>
        </w:rPr>
        <w:t>同时附与造价咨询公司签订的造价咨询委托合同。</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left"/>
        <w:textAlignment w:val="auto"/>
        <w:outlineLvl w:val="9"/>
        <w:rPr>
          <w:rFonts w:hint="eastAsia" w:ascii="仿宋_GB2312" w:hAnsi="仿宋_GB2312" w:eastAsia="仿宋_GB2312"/>
          <w:color w:val="auto"/>
          <w:highlight w:val="none"/>
          <w:lang w:val="en-US" w:eastAsia="zh-CN"/>
        </w:rPr>
      </w:pPr>
      <w:r>
        <w:rPr>
          <w:rFonts w:hint="eastAsia" w:ascii="仿宋_GB2312" w:hAnsi="仿宋_GB2312" w:eastAsia="仿宋_GB2312"/>
          <w:color w:val="auto"/>
          <w:highlight w:val="none"/>
          <w:lang w:val="en-US" w:eastAsia="zh-CN"/>
        </w:rPr>
        <w:t>注：投标</w:t>
      </w:r>
      <w:r>
        <w:rPr>
          <w:rFonts w:hint="eastAsia" w:ascii="仿宋_GB2312" w:hAnsi="仿宋_GB2312" w:eastAsia="仿宋_GB2312" w:cs="Times New Roman"/>
          <w:color w:val="auto"/>
          <w:sz w:val="24"/>
          <w:szCs w:val="24"/>
          <w:highlight w:val="none"/>
          <w:lang w:val="en-US" w:eastAsia="zh-CN" w:bidi="ar-SA"/>
        </w:rPr>
        <w:t>人投标文件组成中的工程量清单上传系统时会自动生成一个投标总价封面，该封面在未办理造价人员个人签字和印章</w:t>
      </w:r>
      <w:r>
        <w:rPr>
          <w:rFonts w:hint="eastAsia" w:ascii="仿宋_GB2312" w:hAnsi="仿宋_GB2312" w:eastAsia="仿宋_GB2312"/>
          <w:color w:val="auto"/>
          <w:highlight w:val="none"/>
          <w:lang w:eastAsia="zh-CN"/>
        </w:rPr>
        <w:t>CA 锁</w:t>
      </w:r>
      <w:r>
        <w:rPr>
          <w:rFonts w:hint="eastAsia" w:ascii="仿宋_GB2312" w:hAnsi="仿宋_GB2312" w:eastAsia="仿宋_GB2312"/>
          <w:color w:val="auto"/>
          <w:highlight w:val="none"/>
          <w:lang w:val="en-US" w:eastAsia="zh-CN"/>
        </w:rPr>
        <w:t>时</w:t>
      </w:r>
      <w:r>
        <w:rPr>
          <w:rFonts w:hint="eastAsia" w:ascii="仿宋_GB2312" w:hAnsi="仿宋_GB2312" w:eastAsia="仿宋_GB2312" w:cs="Times New Roman"/>
          <w:color w:val="auto"/>
          <w:sz w:val="24"/>
          <w:szCs w:val="24"/>
          <w:highlight w:val="none"/>
          <w:lang w:val="en-US" w:eastAsia="zh-CN" w:bidi="ar-SA"/>
        </w:rPr>
        <w:t>无法进行造价人员签字并盖章，投标人自行提供的</w:t>
      </w:r>
      <w:r>
        <w:rPr>
          <w:rFonts w:hint="eastAsia" w:ascii="仿宋_GB2312" w:hAnsi="仿宋_GB2312" w:eastAsia="仿宋_GB2312"/>
          <w:color w:val="auto"/>
          <w:highlight w:val="none"/>
          <w:lang w:eastAsia="zh-CN"/>
        </w:rPr>
        <w:t>已标价工程量清单封面（投标总价）</w:t>
      </w:r>
      <w:r>
        <w:rPr>
          <w:rFonts w:hint="eastAsia" w:ascii="仿宋_GB2312" w:hAnsi="仿宋_GB2312" w:eastAsia="仿宋_GB2312"/>
          <w:color w:val="auto"/>
          <w:highlight w:val="none"/>
          <w:lang w:val="en-US" w:eastAsia="zh-CN"/>
        </w:rPr>
        <w:t>必须按上述要求签字盖章，以</w:t>
      </w:r>
      <w:r>
        <w:rPr>
          <w:rFonts w:hint="eastAsia" w:ascii="仿宋_GB2312" w:hAnsi="仿宋_GB2312" w:eastAsia="仿宋_GB2312" w:cs="Times New Roman"/>
          <w:color w:val="auto"/>
          <w:sz w:val="24"/>
          <w:szCs w:val="24"/>
          <w:highlight w:val="none"/>
          <w:lang w:val="en-US" w:eastAsia="zh-CN" w:bidi="ar-SA"/>
        </w:rPr>
        <w:t>投标人自行提供的</w:t>
      </w:r>
      <w:r>
        <w:rPr>
          <w:rFonts w:hint="eastAsia" w:ascii="仿宋_GB2312" w:hAnsi="仿宋_GB2312" w:eastAsia="仿宋_GB2312"/>
          <w:color w:val="auto"/>
          <w:highlight w:val="none"/>
          <w:lang w:eastAsia="zh-CN"/>
        </w:rPr>
        <w:t>已标价工程量清单封面（投标总价）</w:t>
      </w:r>
      <w:r>
        <w:rPr>
          <w:rFonts w:hint="eastAsia" w:ascii="仿宋_GB2312" w:hAnsi="仿宋_GB2312" w:eastAsia="仿宋_GB2312"/>
          <w:color w:val="auto"/>
          <w:highlight w:val="none"/>
          <w:lang w:val="en-US" w:eastAsia="zh-CN"/>
        </w:rPr>
        <w:t>为准。</w:t>
      </w: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color w:val="auto"/>
          <w:highlight w:val="none"/>
        </w:rPr>
      </w:pPr>
    </w:p>
    <w:p>
      <w:pPr>
        <w:keepNext w:val="0"/>
        <w:keepLines w:val="0"/>
        <w:pageBreakBefore w:val="0"/>
        <w:widowControl/>
        <w:kinsoku/>
        <w:wordWrap/>
        <w:overflowPunct/>
        <w:topLinePunct w:val="0"/>
        <w:autoSpaceDE w:val="0"/>
        <w:autoSpaceDN w:val="0"/>
        <w:bidi w:val="0"/>
        <w:adjustRightInd/>
        <w:snapToGrid w:val="0"/>
        <w:spacing w:line="360" w:lineRule="auto"/>
        <w:ind w:firstLine="480" w:firstLineChars="200"/>
        <w:jc w:val="center"/>
        <w:textAlignment w:val="auto"/>
        <w:outlineLvl w:val="1"/>
        <w:rPr>
          <w:rFonts w:hint="eastAsia" w:ascii="仿宋_GB2312" w:hAnsi="仿宋_GB2312" w:eastAsia="仿宋_GB2312"/>
          <w:color w:val="auto"/>
          <w:highlight w:val="none"/>
        </w:rPr>
      </w:pPr>
      <w:bookmarkStart w:id="64" w:name="_Toc16815"/>
      <w:r>
        <w:rPr>
          <w:rFonts w:hint="eastAsia" w:ascii="仿宋_GB2312" w:hAnsi="仿宋_GB2312" w:eastAsia="仿宋_GB2312"/>
          <w:color w:val="auto"/>
          <w:highlight w:val="none"/>
        </w:rPr>
        <w:t>五、施工组织设计</w:t>
      </w:r>
      <w:bookmarkEnd w:id="64"/>
    </w:p>
    <w:p>
      <w:pPr>
        <w:autoSpaceDE w:val="0"/>
        <w:autoSpaceDN w:val="0"/>
        <w:snapToGrid w:val="0"/>
        <w:spacing w:line="360" w:lineRule="auto"/>
        <w:ind w:firstLine="428"/>
        <w:rPr>
          <w:rFonts w:hint="eastAsia" w:ascii="仿宋_GB2312" w:hAnsi="仿宋_GB2312" w:eastAsia="仿宋_GB2312"/>
          <w:color w:val="auto"/>
          <w:highlight w:val="none"/>
        </w:rPr>
      </w:pP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1．投标人应根据招标文件和对现场的勘察情况，采用文字并结合图表形式，参考以下要点编制本工程的施工组织设计：</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参考第三章评分办法有关评分内容自行编制。</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2．施工组织设计除采用文字表述外可附下列图表，图表及格式要求附后。</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附表一 拟投入本标段的主要施工设备表</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附表二 拟配备本标段的试验和检测仪器设备表</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附表三 劳动力计划表</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附表四 计划开、竣工日期和施工进度网络图</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附表五 施工总平面图</w:t>
      </w:r>
    </w:p>
    <w:p>
      <w:pPr>
        <w:autoSpaceDE w:val="0"/>
        <w:autoSpaceDN w:val="0"/>
        <w:snapToGrid w:val="0"/>
        <w:spacing w:line="360" w:lineRule="auto"/>
        <w:ind w:firstLine="743"/>
        <w:rPr>
          <w:rFonts w:hint="eastAsia" w:ascii="仿宋_GB2312" w:hAnsi="仿宋_GB2312" w:eastAsia="仿宋_GB2312"/>
          <w:color w:val="auto"/>
          <w:highlight w:val="none"/>
        </w:rPr>
      </w:pPr>
      <w:r>
        <w:rPr>
          <w:rFonts w:hint="eastAsia" w:ascii="仿宋_GB2312" w:hAnsi="仿宋_GB2312" w:eastAsia="仿宋_GB2312"/>
          <w:color w:val="auto"/>
          <w:highlight w:val="none"/>
        </w:rPr>
        <w:t>附表六 临时用地表</w:t>
      </w:r>
    </w:p>
    <w:p>
      <w:pPr>
        <w:autoSpaceDE w:val="0"/>
        <w:autoSpaceDN w:val="0"/>
        <w:snapToGrid w:val="0"/>
        <w:spacing w:line="360" w:lineRule="auto"/>
        <w:outlineLvl w:val="2"/>
        <w:rPr>
          <w:rFonts w:hint="eastAsia" w:ascii="仿宋_GB2312" w:hAnsi="仿宋_GB2312" w:eastAsia="仿宋_GB2312"/>
          <w:color w:val="auto"/>
          <w:highlight w:val="none"/>
        </w:rPr>
      </w:pPr>
      <w:r>
        <w:rPr>
          <w:color w:val="auto"/>
          <w:highlight w:val="none"/>
        </w:rPr>
        <w:br w:type="page"/>
      </w:r>
      <w:r>
        <w:rPr>
          <w:rFonts w:hint="eastAsia" w:ascii="仿宋_GB2312" w:hAnsi="仿宋_GB2312" w:eastAsia="仿宋_GB2312"/>
          <w:color w:val="auto"/>
          <w:highlight w:val="none"/>
        </w:rPr>
        <w:t>附表一：拟投入本标段的主要施工设备表</w:t>
      </w:r>
    </w:p>
    <w:tbl>
      <w:tblPr>
        <w:tblStyle w:val="23"/>
        <w:tblW w:w="9178" w:type="dxa"/>
        <w:tblInd w:w="108" w:type="dxa"/>
        <w:tblLayout w:type="fixed"/>
        <w:tblCellMar>
          <w:top w:w="0" w:type="dxa"/>
          <w:left w:w="0" w:type="dxa"/>
          <w:bottom w:w="0" w:type="dxa"/>
          <w:right w:w="0" w:type="dxa"/>
        </w:tblCellMar>
      </w:tblPr>
      <w:tblGrid>
        <w:gridCol w:w="708"/>
        <w:gridCol w:w="1421"/>
        <w:gridCol w:w="1702"/>
        <w:gridCol w:w="709"/>
        <w:gridCol w:w="709"/>
        <w:gridCol w:w="709"/>
        <w:gridCol w:w="991"/>
        <w:gridCol w:w="709"/>
        <w:gridCol w:w="852"/>
        <w:gridCol w:w="668"/>
      </w:tblGrid>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序号</w:t>
            </w: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设备名称</w:t>
            </w: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型号规格</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数量</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国别产地</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制造年份</w:t>
            </w: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额定功率（KW）</w:t>
            </w: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生产能力</w:t>
            </w: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用于施工部位</w:t>
            </w: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备注</w:t>
            </w: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170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99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70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8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c>
          <w:tcPr>
            <w:tcW w:w="6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ind w:firstLine="428"/>
              <w:jc w:val="center"/>
              <w:rPr>
                <w:rFonts w:hint="eastAsia" w:ascii="仿宋_GB2312" w:hAnsi="仿宋_GB2312" w:eastAsia="仿宋_GB2312"/>
                <w:color w:val="auto"/>
                <w:highlight w:val="none"/>
              </w:rPr>
            </w:pPr>
          </w:p>
        </w:tc>
      </w:tr>
    </w:tbl>
    <w:p>
      <w:pPr>
        <w:snapToGrid w:val="0"/>
        <w:spacing w:line="360" w:lineRule="auto"/>
        <w:rPr>
          <w:rFonts w:hint="eastAsia" w:ascii="仿宋_GB2312" w:hAnsi="仿宋_GB2312" w:eastAsia="仿宋_GB2312"/>
          <w:color w:val="auto"/>
          <w:highlight w:val="none"/>
        </w:rPr>
      </w:pPr>
    </w:p>
    <w:p>
      <w:pPr>
        <w:snapToGrid w:val="0"/>
        <w:spacing w:line="360" w:lineRule="auto"/>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附表二：拟配备的试验和检测仪器设备表</w:t>
      </w:r>
    </w:p>
    <w:tbl>
      <w:tblPr>
        <w:tblStyle w:val="23"/>
        <w:tblW w:w="9127" w:type="dxa"/>
        <w:jc w:val="center"/>
        <w:tblLayout w:type="fixed"/>
        <w:tblCellMar>
          <w:top w:w="0" w:type="dxa"/>
          <w:left w:w="0" w:type="dxa"/>
          <w:bottom w:w="0" w:type="dxa"/>
          <w:right w:w="0" w:type="dxa"/>
        </w:tblCellMar>
      </w:tblPr>
      <w:tblGrid>
        <w:gridCol w:w="675"/>
        <w:gridCol w:w="959"/>
        <w:gridCol w:w="962"/>
        <w:gridCol w:w="962"/>
        <w:gridCol w:w="962"/>
        <w:gridCol w:w="1413"/>
        <w:gridCol w:w="1260"/>
        <w:gridCol w:w="942"/>
        <w:gridCol w:w="992"/>
      </w:tblGrid>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序号</w:t>
            </w: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仪器设备名称</w:t>
            </w: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型号</w:t>
            </w:r>
          </w:p>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规格</w:t>
            </w: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数量</w:t>
            </w: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国别</w:t>
            </w:r>
          </w:p>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产地</w:t>
            </w: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制造</w:t>
            </w:r>
          </w:p>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年份</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已使用台时数</w:t>
            </w: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用途</w:t>
            </w: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val="0"/>
              <w:autoSpaceDN w:val="0"/>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备注</w:t>
            </w: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rPr>
                <w:rFonts w:hint="eastAsia" w:ascii="仿宋_GB2312" w:hAnsi="仿宋_GB2312" w:eastAsia="仿宋_GB2312"/>
                <w:color w:val="auto"/>
                <w:highlight w:val="none"/>
              </w:rPr>
            </w:pPr>
          </w:p>
        </w:tc>
        <w:tc>
          <w:tcPr>
            <w:tcW w:w="9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6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4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4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9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bl>
    <w:p>
      <w:pPr>
        <w:snapToGrid w:val="0"/>
        <w:spacing w:line="360" w:lineRule="auto"/>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附表三：劳动力计划表</w:t>
      </w:r>
    </w:p>
    <w:tbl>
      <w:tblPr>
        <w:tblStyle w:val="23"/>
        <w:tblW w:w="8965" w:type="dxa"/>
        <w:jc w:val="center"/>
        <w:tblLayout w:type="fixed"/>
        <w:tblCellMar>
          <w:top w:w="0" w:type="dxa"/>
          <w:left w:w="0" w:type="dxa"/>
          <w:bottom w:w="0" w:type="dxa"/>
          <w:right w:w="0" w:type="dxa"/>
        </w:tblCellMar>
      </w:tblPr>
      <w:tblGrid>
        <w:gridCol w:w="1117"/>
        <w:gridCol w:w="1104"/>
        <w:gridCol w:w="1105"/>
        <w:gridCol w:w="1106"/>
        <w:gridCol w:w="1106"/>
        <w:gridCol w:w="1106"/>
        <w:gridCol w:w="1106"/>
        <w:gridCol w:w="1215"/>
      </w:tblGrid>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工种</w:t>
            </w:r>
          </w:p>
        </w:tc>
        <w:tc>
          <w:tcPr>
            <w:tcW w:w="7848" w:type="dxa"/>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560"/>
              </w:tabs>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按工程施工阶段投入劳动力情况</w:t>
            </w: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40" w:hRule="atLeast"/>
          <w:jc w:val="center"/>
        </w:trPr>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1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21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bl>
    <w:p>
      <w:pPr>
        <w:snapToGrid w:val="0"/>
        <w:spacing w:line="360" w:lineRule="auto"/>
        <w:rPr>
          <w:rFonts w:hint="eastAsia" w:ascii="仿宋_GB2312" w:hAnsi="仿宋_GB2312" w:eastAsia="仿宋_GB2312"/>
          <w:color w:val="auto"/>
          <w:highlight w:val="none"/>
        </w:rPr>
      </w:pPr>
    </w:p>
    <w:p>
      <w:pPr>
        <w:snapToGrid w:val="0"/>
        <w:spacing w:line="360" w:lineRule="auto"/>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附表四：计划开、竣工日期和施工进度网络图</w:t>
      </w:r>
    </w:p>
    <w:p>
      <w:pPr>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1. 投标人应递交施工进度网络图或施工进度表，说明按招标文件要求的计划工期进行施工的各个关键日期。</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2. 施工进度表可采用网络图和（或横道图）表示。</w:t>
      </w:r>
    </w:p>
    <w:p>
      <w:pPr>
        <w:autoSpaceDE w:val="0"/>
        <w:autoSpaceDN w:val="0"/>
        <w:snapToGrid w:val="0"/>
        <w:spacing w:line="360" w:lineRule="auto"/>
        <w:outlineLvl w:val="2"/>
        <w:rPr>
          <w:rFonts w:hint="eastAsia" w:ascii="仿宋_GB2312" w:hAnsi="仿宋_GB2312" w:eastAsia="仿宋_GB2312"/>
          <w:color w:val="auto"/>
          <w:highlight w:val="none"/>
        </w:rPr>
      </w:pPr>
      <w:r>
        <w:rPr>
          <w:color w:val="auto"/>
          <w:highlight w:val="none"/>
        </w:rPr>
        <w:br w:type="page"/>
      </w:r>
      <w:r>
        <w:rPr>
          <w:rFonts w:hint="eastAsia" w:ascii="仿宋_GB2312" w:hAnsi="仿宋_GB2312" w:eastAsia="仿宋_GB2312"/>
          <w:color w:val="auto"/>
          <w:highlight w:val="none"/>
        </w:rPr>
        <w:t>附表五：施工总平面图</w:t>
      </w:r>
    </w:p>
    <w:p>
      <w:pPr>
        <w:autoSpaceDE w:val="0"/>
        <w:autoSpaceDN w:val="0"/>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投标人应递交一份施工总平面图，绘出现场临时设施布置图表并附文字说明，说明临时设施、加工车间、现场办公、设备及仓储、供电、供水、卫生、生活、道路、等设施的情况和布置。</w:t>
      </w:r>
    </w:p>
    <w:p>
      <w:pPr>
        <w:autoSpaceDE w:val="0"/>
        <w:autoSpaceDN w:val="0"/>
        <w:snapToGrid w:val="0"/>
        <w:spacing w:line="360" w:lineRule="auto"/>
        <w:outlineLvl w:val="2"/>
        <w:rPr>
          <w:rFonts w:hint="eastAsia" w:ascii="仿宋_GB2312" w:hAnsi="仿宋_GB2312" w:eastAsia="仿宋_GB2312"/>
          <w:color w:val="auto"/>
          <w:highlight w:val="none"/>
        </w:rPr>
      </w:pPr>
      <w:r>
        <w:rPr>
          <w:color w:val="auto"/>
          <w:highlight w:val="none"/>
        </w:rPr>
        <w:br w:type="page"/>
      </w:r>
      <w:r>
        <w:rPr>
          <w:rFonts w:hint="eastAsia" w:ascii="仿宋_GB2312" w:hAnsi="仿宋_GB2312" w:eastAsia="仿宋_GB2312"/>
          <w:color w:val="auto"/>
          <w:highlight w:val="none"/>
        </w:rPr>
        <w:t>附表六：临时用地表</w:t>
      </w:r>
    </w:p>
    <w:tbl>
      <w:tblPr>
        <w:tblStyle w:val="23"/>
        <w:tblW w:w="8928" w:type="dxa"/>
        <w:jc w:val="center"/>
        <w:tblLayout w:type="fixed"/>
        <w:tblCellMar>
          <w:top w:w="0" w:type="dxa"/>
          <w:left w:w="0" w:type="dxa"/>
          <w:bottom w:w="0" w:type="dxa"/>
          <w:right w:w="0" w:type="dxa"/>
        </w:tblCellMar>
      </w:tblPr>
      <w:tblGrid>
        <w:gridCol w:w="2321"/>
        <w:gridCol w:w="2321"/>
        <w:gridCol w:w="2322"/>
        <w:gridCol w:w="1964"/>
      </w:tblGrid>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用途</w:t>
            </w: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面 积（平方米）</w:t>
            </w: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位 置</w:t>
            </w: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需用时间</w:t>
            </w: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680"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479"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552" w:hRule="atLeast"/>
          <w:jc w:val="center"/>
        </w:trPr>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232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c>
          <w:tcPr>
            <w:tcW w:w="196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tabs>
                <w:tab w:val="left" w:pos="3560"/>
              </w:tabs>
              <w:snapToGrid w:val="0"/>
              <w:spacing w:line="360" w:lineRule="auto"/>
              <w:ind w:firstLine="428"/>
              <w:rPr>
                <w:rFonts w:hint="eastAsia" w:ascii="仿宋_GB2312" w:hAnsi="仿宋_GB2312" w:eastAsia="仿宋_GB2312"/>
                <w:color w:val="auto"/>
                <w:highlight w:val="none"/>
              </w:rPr>
            </w:pPr>
          </w:p>
        </w:tc>
      </w:tr>
    </w:tbl>
    <w:p>
      <w:pPr>
        <w:snapToGrid w:val="0"/>
        <w:spacing w:line="360" w:lineRule="auto"/>
        <w:jc w:val="center"/>
        <w:outlineLvl w:val="1"/>
        <w:rPr>
          <w:rFonts w:hint="eastAsia" w:ascii="仿宋_GB2312" w:hAnsi="仿宋_GB2312" w:eastAsia="仿宋_GB2312"/>
          <w:color w:val="auto"/>
          <w:highlight w:val="none"/>
        </w:rPr>
      </w:pPr>
      <w:bookmarkStart w:id="65" w:name="_Toc17280"/>
      <w:r>
        <w:rPr>
          <w:rFonts w:hint="eastAsia" w:ascii="仿宋_GB2312" w:hAnsi="仿宋_GB2312" w:eastAsia="仿宋_GB2312"/>
          <w:color w:val="auto"/>
          <w:highlight w:val="none"/>
        </w:rPr>
        <w:t>六、项目管理机构</w:t>
      </w:r>
      <w:bookmarkEnd w:id="65"/>
    </w:p>
    <w:tbl>
      <w:tblPr>
        <w:tblStyle w:val="23"/>
        <w:tblW w:w="8926" w:type="dxa"/>
        <w:jc w:val="center"/>
        <w:tblLayout w:type="fixed"/>
        <w:tblCellMar>
          <w:top w:w="0" w:type="dxa"/>
          <w:left w:w="0" w:type="dxa"/>
          <w:bottom w:w="0" w:type="dxa"/>
          <w:right w:w="0" w:type="dxa"/>
        </w:tblCellMar>
      </w:tblPr>
      <w:tblGrid>
        <w:gridCol w:w="718"/>
        <w:gridCol w:w="1082"/>
        <w:gridCol w:w="778"/>
        <w:gridCol w:w="841"/>
        <w:gridCol w:w="1082"/>
        <w:gridCol w:w="1441"/>
        <w:gridCol w:w="827"/>
        <w:gridCol w:w="1250"/>
        <w:gridCol w:w="907"/>
      </w:tblGrid>
      <w:tr>
        <w:tblPrEx>
          <w:tblCellMar>
            <w:top w:w="0" w:type="dxa"/>
            <w:left w:w="0" w:type="dxa"/>
            <w:bottom w:w="0" w:type="dxa"/>
            <w:right w:w="0" w:type="dxa"/>
          </w:tblCellMar>
        </w:tblPrEx>
        <w:trPr>
          <w:trHeight w:val="695"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序号</w:t>
            </w: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姓名</w:t>
            </w: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性别</w:t>
            </w: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年龄</w:t>
            </w: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专业</w:t>
            </w: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资格证编号</w:t>
            </w: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职称</w:t>
            </w: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拟任岗位</w:t>
            </w: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备注</w:t>
            </w: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r>
        <w:tblPrEx>
          <w:tblCellMar>
            <w:top w:w="0" w:type="dxa"/>
            <w:left w:w="0" w:type="dxa"/>
            <w:bottom w:w="0" w:type="dxa"/>
            <w:right w:w="0" w:type="dxa"/>
          </w:tblCellMar>
        </w:tblPrEx>
        <w:trPr>
          <w:trHeight w:val="199" w:hRule="atLeast"/>
          <w:jc w:val="center"/>
        </w:trPr>
        <w:tc>
          <w:tcPr>
            <w:tcW w:w="7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77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0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44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8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12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c>
          <w:tcPr>
            <w:tcW w:w="90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napToGrid w:val="0"/>
              <w:spacing w:line="360" w:lineRule="auto"/>
              <w:jc w:val="center"/>
              <w:rPr>
                <w:rFonts w:hint="eastAsia" w:ascii="仿宋_GB2312" w:hAnsi="仿宋_GB2312" w:eastAsia="仿宋_GB2312"/>
                <w:color w:val="auto"/>
                <w:highlight w:val="none"/>
              </w:rPr>
            </w:pPr>
          </w:p>
        </w:tc>
      </w:tr>
    </w:tbl>
    <w:p>
      <w:pPr>
        <w:snapToGrid w:val="0"/>
        <w:spacing w:line="360" w:lineRule="auto"/>
        <w:rPr>
          <w:rFonts w:hint="eastAsia" w:ascii="仿宋_GB2312" w:hAnsi="仿宋_GB2312" w:eastAsia="仿宋_GB2312"/>
          <w:color w:val="auto"/>
          <w:highlight w:val="none"/>
        </w:rPr>
      </w:pPr>
    </w:p>
    <w:p>
      <w:pPr>
        <w:snapToGrid w:val="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附1：项目经理简历表</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项目经理应附建造师注册证书（允许使用新版电子注册证书）、安全生产考核合格证书（允许使用新版电子注册证书）、身份证、职称证（如果有）、学历证（如果有）、个人社会保险缴纳证明复印件，管理过的项目业绩须附合同协议书、中标通知书、中标公示网页版截图和验收合格证明复印件（如果有）。类似项目限于以项目经理身份参与</w:t>
      </w:r>
      <w:r>
        <w:rPr>
          <w:rFonts w:hint="eastAsia" w:ascii="仿宋_GB2312" w:hAnsi="仿宋_GB2312" w:eastAsia="仿宋_GB2312"/>
          <w:color w:val="auto"/>
          <w:highlight w:val="none"/>
          <w:shd w:val="clear" w:color="000000" w:fill="auto"/>
        </w:rPr>
        <w:t>供配电工程</w:t>
      </w:r>
      <w:r>
        <w:rPr>
          <w:rFonts w:hint="eastAsia" w:ascii="仿宋_GB2312" w:hAnsi="仿宋_GB2312" w:eastAsia="仿宋_GB2312"/>
          <w:color w:val="auto"/>
          <w:highlight w:val="none"/>
          <w:shd w:val="clear" w:color="000000" w:fill="auto"/>
          <w:lang w:eastAsia="zh-CN"/>
        </w:rPr>
        <w:t>施工</w:t>
      </w:r>
      <w:r>
        <w:rPr>
          <w:rFonts w:hint="eastAsia" w:ascii="仿宋_GB2312" w:hAnsi="仿宋_GB2312" w:eastAsia="仿宋_GB2312"/>
          <w:color w:val="auto"/>
          <w:highlight w:val="none"/>
        </w:rPr>
        <w:t>项目。</w:t>
      </w:r>
    </w:p>
    <w:p>
      <w:pPr>
        <w:autoSpaceDE w:val="0"/>
        <w:autoSpaceDN w:val="0"/>
        <w:snapToGrid w:val="0"/>
        <w:spacing w:line="360" w:lineRule="auto"/>
        <w:ind w:firstLine="428"/>
        <w:rPr>
          <w:rFonts w:hint="eastAsia" w:ascii="仿宋_GB2312" w:hAnsi="仿宋_GB2312" w:eastAsia="仿宋_GB2312"/>
          <w:color w:val="auto"/>
          <w:highlight w:val="none"/>
        </w:rPr>
      </w:pPr>
    </w:p>
    <w:tbl>
      <w:tblPr>
        <w:tblStyle w:val="23"/>
        <w:tblW w:w="9356" w:type="dxa"/>
        <w:tblInd w:w="108" w:type="dxa"/>
        <w:tblLayout w:type="fixed"/>
        <w:tblCellMar>
          <w:top w:w="0" w:type="dxa"/>
          <w:left w:w="0" w:type="dxa"/>
          <w:bottom w:w="0" w:type="dxa"/>
          <w:right w:w="0" w:type="dxa"/>
        </w:tblCellMar>
      </w:tblPr>
      <w:tblGrid>
        <w:gridCol w:w="1092"/>
        <w:gridCol w:w="1035"/>
        <w:gridCol w:w="1134"/>
        <w:gridCol w:w="1559"/>
        <w:gridCol w:w="2268"/>
        <w:gridCol w:w="2268"/>
      </w:tblGrid>
      <w:tr>
        <w:tblPrEx>
          <w:tblCellMar>
            <w:top w:w="0" w:type="dxa"/>
            <w:left w:w="0" w:type="dxa"/>
            <w:bottom w:w="0" w:type="dxa"/>
            <w:right w:w="0" w:type="dxa"/>
          </w:tblCellMar>
        </w:tblPrEx>
        <w:trPr>
          <w:trHeight w:val="454" w:hRule="atLeast"/>
        </w:trPr>
        <w:tc>
          <w:tcPr>
            <w:tcW w:w="10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姓  名</w:t>
            </w: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身份证</w:t>
            </w:r>
          </w:p>
        </w:tc>
        <w:tc>
          <w:tcPr>
            <w:tcW w:w="155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学历</w:t>
            </w: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54" w:hRule="atLeast"/>
        </w:trPr>
        <w:tc>
          <w:tcPr>
            <w:tcW w:w="10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执业资格证书</w:t>
            </w:r>
          </w:p>
        </w:tc>
        <w:tc>
          <w:tcPr>
            <w:tcW w:w="103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113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证书编号</w:t>
            </w:r>
          </w:p>
        </w:tc>
        <w:tc>
          <w:tcPr>
            <w:tcW w:w="6095"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r>
      <w:tr>
        <w:tblPrEx>
          <w:tblCellMar>
            <w:top w:w="0" w:type="dxa"/>
            <w:left w:w="0" w:type="dxa"/>
            <w:bottom w:w="0" w:type="dxa"/>
            <w:right w:w="0" w:type="dxa"/>
          </w:tblCellMar>
        </w:tblPrEx>
        <w:trPr>
          <w:trHeight w:val="454" w:hRule="atLeast"/>
        </w:trPr>
        <w:tc>
          <w:tcPr>
            <w:tcW w:w="935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负责人相关业绩</w:t>
            </w:r>
          </w:p>
        </w:tc>
      </w:tr>
      <w:tr>
        <w:tblPrEx>
          <w:tblCellMar>
            <w:top w:w="0" w:type="dxa"/>
            <w:left w:w="0" w:type="dxa"/>
            <w:bottom w:w="0" w:type="dxa"/>
            <w:right w:w="0" w:type="dxa"/>
          </w:tblCellMar>
        </w:tblPrEx>
        <w:trPr>
          <w:trHeight w:val="454" w:hRule="atLeast"/>
        </w:trPr>
        <w:tc>
          <w:tcPr>
            <w:tcW w:w="10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工程名称</w:t>
            </w:r>
          </w:p>
        </w:tc>
        <w:tc>
          <w:tcPr>
            <w:tcW w:w="372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建设单位</w:t>
            </w: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合同签订时间</w:t>
            </w: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合同金额</w:t>
            </w:r>
          </w:p>
        </w:tc>
      </w:tr>
      <w:tr>
        <w:tblPrEx>
          <w:tblCellMar>
            <w:top w:w="0" w:type="dxa"/>
            <w:left w:w="0" w:type="dxa"/>
            <w:bottom w:w="0" w:type="dxa"/>
            <w:right w:w="0" w:type="dxa"/>
          </w:tblCellMar>
        </w:tblPrEx>
        <w:trPr>
          <w:trHeight w:val="680" w:hRule="atLeast"/>
        </w:trPr>
        <w:tc>
          <w:tcPr>
            <w:tcW w:w="10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372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c>
          <w:tcPr>
            <w:tcW w:w="226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napToGrid w:val="0"/>
              <w:spacing w:line="360" w:lineRule="auto"/>
              <w:jc w:val="center"/>
              <w:rPr>
                <w:rFonts w:hint="eastAsia" w:ascii="仿宋" w:hAnsi="仿宋" w:eastAsia="仿宋" w:cs="仿宋"/>
                <w:color w:val="auto"/>
                <w:highlight w:val="none"/>
              </w:rPr>
            </w:pPr>
          </w:p>
        </w:tc>
      </w:tr>
    </w:tbl>
    <w:p>
      <w:pPr>
        <w:snapToGrid w:val="0"/>
        <w:spacing w:line="360" w:lineRule="auto"/>
        <w:rPr>
          <w:rFonts w:hint="eastAsia" w:ascii="仿宋_GB2312" w:hAnsi="仿宋_GB2312" w:eastAsia="仿宋_GB2312"/>
          <w:color w:val="auto"/>
          <w:highlight w:val="none"/>
        </w:rPr>
      </w:pPr>
    </w:p>
    <w:p>
      <w:pPr>
        <w:autoSpaceDE w:val="0"/>
        <w:autoSpaceDN w:val="0"/>
        <w:snapToGrid w:val="0"/>
        <w:spacing w:line="360" w:lineRule="auto"/>
        <w:ind w:firstLine="428"/>
        <w:rPr>
          <w:rFonts w:hint="eastAsia" w:ascii="仿宋" w:hAnsi="仿宋" w:eastAsia="仿宋" w:cs="仿宋"/>
          <w:color w:val="auto"/>
          <w:szCs w:val="22"/>
          <w:highlight w:val="none"/>
        </w:rPr>
      </w:pPr>
      <w:r>
        <w:rPr>
          <w:rFonts w:hint="eastAsia" w:ascii="仿宋" w:hAnsi="仿宋" w:eastAsia="仿宋" w:cs="仿宋"/>
          <w:color w:val="auto"/>
          <w:szCs w:val="22"/>
          <w:highlight w:val="none"/>
        </w:rPr>
        <w:t>附：扫描件</w:t>
      </w:r>
    </w:p>
    <w:p>
      <w:pPr>
        <w:snapToGrid w:val="0"/>
        <w:rPr>
          <w:rFonts w:hint="eastAsia" w:ascii="仿宋" w:hAnsi="仿宋" w:eastAsia="仿宋" w:cs="仿宋"/>
          <w:color w:val="auto"/>
          <w:highlight w:val="none"/>
        </w:rPr>
      </w:pP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r>
    </w:tbl>
    <w:p>
      <w:pPr>
        <w:snapToGrid w:val="0"/>
        <w:spacing w:line="360" w:lineRule="auto"/>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pStyle w:val="22"/>
        <w:rPr>
          <w:rFonts w:hint="eastAsia"/>
          <w:color w:val="auto"/>
          <w:highlight w:val="none"/>
        </w:rPr>
      </w:pPr>
    </w:p>
    <w:p>
      <w:pPr>
        <w:pStyle w:val="22"/>
        <w:rPr>
          <w:rFonts w:hint="eastAsia"/>
          <w:color w:val="auto"/>
          <w:highlight w:val="none"/>
        </w:rPr>
      </w:pPr>
    </w:p>
    <w:p>
      <w:pPr>
        <w:snapToGrid w:val="0"/>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附2：主要项目管理人员简历表</w:t>
      </w:r>
    </w:p>
    <w:p>
      <w:pPr>
        <w:autoSpaceDE w:val="0"/>
        <w:autoSpaceDN w:val="0"/>
        <w:snapToGrid w:val="0"/>
        <w:spacing w:line="360" w:lineRule="auto"/>
        <w:ind w:firstLine="428"/>
        <w:rPr>
          <w:rFonts w:hint="eastAsia" w:ascii="仿宋_GB2312" w:hAnsi="仿宋_GB2312" w:eastAsia="仿宋_GB2312"/>
          <w:color w:val="auto"/>
          <w:highlight w:val="none"/>
        </w:rPr>
      </w:pPr>
      <w:r>
        <w:rPr>
          <w:rFonts w:hint="eastAsia" w:ascii="仿宋_GB2312" w:hAnsi="仿宋_GB2312" w:eastAsia="仿宋_GB2312"/>
          <w:color w:val="auto"/>
          <w:highlight w:val="none"/>
        </w:rPr>
        <w:t>主要项目管理人员指项目技术负责人、专职安全生产管理人员等岗位人员。应附执业资格证书或岗位证书（如果有）、身份证、职称证（如果有）、学历证（如果有）、个人社会保险缴纳证明复印件，专职安全生产管理人员应附安全生产考核合格证书（C证）（允许使用新版电子注册证书）。</w:t>
      </w:r>
    </w:p>
    <w:p>
      <w:pPr>
        <w:autoSpaceDE w:val="0"/>
        <w:autoSpaceDN w:val="0"/>
        <w:snapToGrid w:val="0"/>
        <w:spacing w:line="360" w:lineRule="auto"/>
        <w:ind w:firstLine="428"/>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项目管理人员信息</w:t>
      </w:r>
    </w:p>
    <w:tbl>
      <w:tblPr>
        <w:tblStyle w:val="23"/>
        <w:tblW w:w="9411" w:type="dxa"/>
        <w:tblInd w:w="0" w:type="dxa"/>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Layout w:type="fixed"/>
        <w:tblCellMar>
          <w:top w:w="0" w:type="dxa"/>
          <w:left w:w="0" w:type="dxa"/>
          <w:bottom w:w="0" w:type="dxa"/>
          <w:right w:w="0" w:type="dxa"/>
        </w:tblCellMar>
      </w:tblPr>
      <w:tblGrid>
        <w:gridCol w:w="1255"/>
        <w:gridCol w:w="1506"/>
        <w:gridCol w:w="1254"/>
        <w:gridCol w:w="1506"/>
        <w:gridCol w:w="1631"/>
        <w:gridCol w:w="2259"/>
      </w:tblGrid>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9411" w:type="dxa"/>
            <w:gridSpan w:val="6"/>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项目管理人员信息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255"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序号 </w:t>
            </w:r>
          </w:p>
        </w:tc>
        <w:tc>
          <w:tcPr>
            <w:tcW w:w="1506"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姓名 </w:t>
            </w:r>
          </w:p>
        </w:tc>
        <w:tc>
          <w:tcPr>
            <w:tcW w:w="1254"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身份证号 </w:t>
            </w:r>
          </w:p>
        </w:tc>
        <w:tc>
          <w:tcPr>
            <w:tcW w:w="1506"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学历 </w:t>
            </w:r>
          </w:p>
        </w:tc>
        <w:tc>
          <w:tcPr>
            <w:tcW w:w="1631"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职业资格证书 </w:t>
            </w:r>
          </w:p>
        </w:tc>
        <w:tc>
          <w:tcPr>
            <w:tcW w:w="2259" w:type="dxa"/>
            <w:tcBorders>
              <w:top w:val="outset" w:color="auto" w:sz="6" w:space="0"/>
              <w:left w:val="outset" w:color="auto" w:sz="6" w:space="0"/>
              <w:bottom w:val="outset" w:color="auto" w:sz="6" w:space="0"/>
              <w:right w:val="outset" w:color="auto" w:sz="6" w:space="0"/>
            </w:tcBorders>
            <w:noWrap w:val="0"/>
            <w:vAlign w:val="center"/>
          </w:tcPr>
          <w:p>
            <w:pPr>
              <w:wordWrap w:val="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bidi="ar"/>
              </w:rPr>
              <w:t xml:space="preserve">证书编号 </w:t>
            </w:r>
          </w:p>
        </w:tc>
      </w:tr>
      <w:tr>
        <w:tblPrEx>
          <w:tblBorders>
            <w:top w:val="outset" w:color="000000" w:sz="6" w:space="0"/>
            <w:left w:val="outset" w:color="000000" w:sz="6" w:space="0"/>
            <w:bottom w:val="outset" w:color="000000" w:sz="6" w:space="0"/>
            <w:right w:val="outset" w:color="000000" w:sz="6" w:space="0"/>
            <w:insideH w:val="outset" w:color="auto" w:sz="6" w:space="0"/>
            <w:insideV w:val="outset" w:color="auto" w:sz="6" w:space="0"/>
          </w:tblBorders>
          <w:tblCellMar>
            <w:top w:w="0" w:type="dxa"/>
            <w:left w:w="0" w:type="dxa"/>
            <w:bottom w:w="0" w:type="dxa"/>
            <w:right w:w="0" w:type="dxa"/>
          </w:tblCellMar>
        </w:tblPrEx>
        <w:trPr>
          <w:trHeight w:val="567" w:hRule="atLeast"/>
        </w:trPr>
        <w:tc>
          <w:tcPr>
            <w:tcW w:w="125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c>
          <w:tcPr>
            <w:tcW w:w="150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c>
          <w:tcPr>
            <w:tcW w:w="1254"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c>
          <w:tcPr>
            <w:tcW w:w="1506"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c>
          <w:tcPr>
            <w:tcW w:w="1631"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c>
          <w:tcPr>
            <w:tcW w:w="2259"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color w:val="auto"/>
                <w:sz w:val="21"/>
                <w:szCs w:val="21"/>
                <w:highlight w:val="none"/>
              </w:rPr>
            </w:pPr>
          </w:p>
        </w:tc>
      </w:tr>
    </w:tbl>
    <w:p>
      <w:pPr>
        <w:autoSpaceDE w:val="0"/>
        <w:autoSpaceDN w:val="0"/>
        <w:snapToGrid w:val="0"/>
        <w:spacing w:line="360" w:lineRule="auto"/>
        <w:ind w:firstLine="428"/>
        <w:rPr>
          <w:rFonts w:hint="eastAsia" w:ascii="仿宋" w:hAnsi="仿宋" w:eastAsia="仿宋" w:cs="仿宋"/>
          <w:color w:val="auto"/>
          <w:szCs w:val="22"/>
          <w:highlight w:val="none"/>
        </w:rPr>
      </w:pPr>
      <w:r>
        <w:rPr>
          <w:rFonts w:hint="eastAsia" w:ascii="仿宋" w:hAnsi="仿宋" w:eastAsia="仿宋" w:cs="仿宋"/>
          <w:color w:val="auto"/>
          <w:szCs w:val="22"/>
          <w:highlight w:val="none"/>
        </w:rPr>
        <w:t>附：扫描件</w:t>
      </w:r>
    </w:p>
    <w:tbl>
      <w:tblPr>
        <w:tblStyle w:val="2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r>
    </w:tbl>
    <w:p>
      <w:pPr>
        <w:pStyle w:val="22"/>
        <w:rPr>
          <w:rFonts w:hint="eastAsia"/>
          <w:color w:val="auto"/>
          <w:highlight w:val="none"/>
        </w:rPr>
      </w:pPr>
    </w:p>
    <w:p>
      <w:pPr>
        <w:snapToGrid w:val="0"/>
        <w:spacing w:line="360" w:lineRule="auto"/>
        <w:rPr>
          <w:rFonts w:hint="eastAsia" w:ascii="仿宋_GB2312" w:hAnsi="仿宋_GB2312" w:eastAsia="仿宋_GB2312"/>
          <w:color w:val="auto"/>
          <w:highlight w:val="none"/>
        </w:rPr>
      </w:pPr>
    </w:p>
    <w:p>
      <w:pPr>
        <w:snapToGrid w:val="0"/>
        <w:outlineLvl w:val="2"/>
        <w:rPr>
          <w:rFonts w:hint="eastAsia" w:ascii="仿宋_GB2312" w:hAnsi="仿宋_GB2312" w:eastAsia="仿宋_GB2312"/>
          <w:color w:val="auto"/>
          <w:highlight w:val="none"/>
        </w:rPr>
      </w:pPr>
      <w:r>
        <w:rPr>
          <w:color w:val="auto"/>
          <w:highlight w:val="none"/>
        </w:rPr>
        <w:br w:type="page"/>
      </w:r>
      <w:r>
        <w:rPr>
          <w:rFonts w:hint="eastAsia" w:ascii="仿宋_GB2312" w:hAnsi="仿宋_GB2312" w:eastAsia="仿宋_GB2312"/>
          <w:color w:val="auto"/>
          <w:highlight w:val="none"/>
        </w:rPr>
        <w:t>附3：承诺书</w:t>
      </w:r>
    </w:p>
    <w:p>
      <w:pPr>
        <w:snapToGrid w:val="0"/>
        <w:spacing w:before="240" w:after="240"/>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承诺书</w:t>
      </w:r>
    </w:p>
    <w:p>
      <w:pPr>
        <w:snapToGrid w:val="0"/>
        <w:spacing w:after="240" w:line="440" w:lineRule="exact"/>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（招标人名称/招标代理机构名称）</w:t>
      </w:r>
      <w:r>
        <w:rPr>
          <w:rFonts w:hint="eastAsia" w:ascii="仿宋_GB2312" w:hAnsi="仿宋_GB2312" w:eastAsia="仿宋_GB2312"/>
          <w:color w:val="auto"/>
          <w:highlight w:val="none"/>
        </w:rPr>
        <w:t>：</w:t>
      </w:r>
    </w:p>
    <w:p>
      <w:pPr>
        <w:snapToGrid w:val="0"/>
        <w:spacing w:line="440" w:lineRule="exact"/>
        <w:ind w:firstLine="4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我方在此声明，一旦我方在</w:t>
      </w:r>
      <w:r>
        <w:rPr>
          <w:rFonts w:hint="eastAsia" w:ascii="仿宋_GB2312" w:hAnsi="仿宋_GB2312" w:eastAsia="仿宋_GB2312"/>
          <w:color w:val="auto"/>
          <w:highlight w:val="none"/>
          <w:u w:val="single"/>
        </w:rPr>
        <w:t xml:space="preserve">    （项目名称）    </w:t>
      </w:r>
      <w:r>
        <w:rPr>
          <w:rFonts w:hint="eastAsia" w:ascii="仿宋_GB2312" w:hAnsi="仿宋_GB2312" w:eastAsia="仿宋_GB2312"/>
          <w:color w:val="auto"/>
          <w:highlight w:val="none"/>
        </w:rPr>
        <w:t>中标，我方拟派的项目经理</w:t>
      </w:r>
      <w:r>
        <w:rPr>
          <w:rFonts w:hint="eastAsia" w:ascii="仿宋_GB2312" w:hAnsi="仿宋_GB2312" w:eastAsia="仿宋_GB2312"/>
          <w:color w:val="auto"/>
          <w:highlight w:val="none"/>
          <w:u w:val="single"/>
        </w:rPr>
        <w:t xml:space="preserve">   （姓名）  </w:t>
      </w:r>
      <w:r>
        <w:rPr>
          <w:rFonts w:hint="eastAsia" w:ascii="仿宋_GB2312" w:hAnsi="仿宋_GB2312" w:eastAsia="仿宋_GB2312"/>
          <w:color w:val="auto"/>
          <w:highlight w:val="none"/>
        </w:rPr>
        <w:t>，</w:t>
      </w:r>
      <w:r>
        <w:rPr>
          <w:rFonts w:hint="eastAsia" w:ascii="仿宋_GB2312" w:hAnsi="仿宋_GB2312" w:eastAsia="仿宋_GB2312"/>
          <w:color w:val="auto"/>
          <w:highlight w:val="none"/>
          <w:shd w:val="clear" w:color="000000" w:fill="auto"/>
          <w:lang w:eastAsia="zh-CN"/>
        </w:rPr>
        <w:t>自本项目合同签订之日起至本项目施工完工期间</w:t>
      </w:r>
      <w:r>
        <w:rPr>
          <w:rFonts w:hint="eastAsia" w:ascii="仿宋_GB2312" w:hAnsi="仿宋_GB2312" w:eastAsia="仿宋_GB2312"/>
          <w:color w:val="auto"/>
          <w:highlight w:val="none"/>
        </w:rPr>
        <w:t>将不担任其他任何在施建设工程项目的项目经理工作</w:t>
      </w:r>
      <w:r>
        <w:rPr>
          <w:rFonts w:hint="eastAsia" w:ascii="仿宋_GB2312" w:hAnsi="仿宋_GB2312" w:eastAsia="仿宋_GB2312"/>
          <w:color w:val="auto"/>
          <w:highlight w:val="none"/>
          <w:lang w:eastAsia="zh-CN"/>
        </w:rPr>
        <w:t>，按时到岗，遵守合同约定，否则招标人有权单方终止合同，并有权追究我方违约责任。</w:t>
      </w:r>
    </w:p>
    <w:p>
      <w:pPr>
        <w:snapToGrid w:val="0"/>
        <w:spacing w:line="440" w:lineRule="exact"/>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我方保证上述信息的真实和准确</w:t>
      </w:r>
      <w:r>
        <w:rPr>
          <w:rFonts w:hint="eastAsia" w:ascii="仿宋_GB2312" w:hAnsi="仿宋_GB2312" w:eastAsia="仿宋_GB2312"/>
          <w:color w:val="auto"/>
          <w:highlight w:val="none"/>
          <w:lang w:eastAsia="zh-CN"/>
        </w:rPr>
        <w:t>，并无任何隐瞒</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若我提供不实信息，自愿放弃中标权利，</w:t>
      </w:r>
      <w:r>
        <w:rPr>
          <w:rFonts w:hint="eastAsia" w:ascii="仿宋_GB2312" w:hAnsi="仿宋_GB2312" w:eastAsia="仿宋_GB2312"/>
          <w:color w:val="auto"/>
          <w:highlight w:val="none"/>
        </w:rPr>
        <w:t>并愿意承担因我方就此弄虚作假所引起的一切法律后果。</w:t>
      </w:r>
    </w:p>
    <w:p>
      <w:pPr>
        <w:snapToGrid w:val="0"/>
        <w:spacing w:line="440" w:lineRule="exact"/>
        <w:ind w:firstLine="420"/>
        <w:rPr>
          <w:rFonts w:hint="eastAsia" w:ascii="仿宋_GB2312" w:hAnsi="仿宋_GB2312" w:eastAsia="仿宋_GB2312"/>
          <w:color w:val="auto"/>
          <w:highlight w:val="none"/>
        </w:rPr>
      </w:pPr>
    </w:p>
    <w:p>
      <w:pPr>
        <w:snapToGrid w:val="0"/>
        <w:spacing w:line="440" w:lineRule="exact"/>
        <w:ind w:firstLine="4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rPr>
        <w:t>特此承诺</w:t>
      </w:r>
      <w:r>
        <w:rPr>
          <w:rFonts w:hint="eastAsia" w:ascii="仿宋_GB2312" w:hAnsi="仿宋_GB2312" w:eastAsia="仿宋_GB2312"/>
          <w:color w:val="auto"/>
          <w:highlight w:val="none"/>
          <w:lang w:eastAsia="zh-CN"/>
        </w:rPr>
        <w:t>！</w:t>
      </w:r>
    </w:p>
    <w:p>
      <w:pPr>
        <w:snapToGrid w:val="0"/>
        <w:spacing w:line="440" w:lineRule="exact"/>
        <w:ind w:firstLine="420"/>
        <w:rPr>
          <w:rFonts w:hint="eastAsia" w:ascii="仿宋_GB2312" w:hAnsi="仿宋_GB2312" w:eastAsia="仿宋_GB2312"/>
          <w:color w:val="auto"/>
          <w:highlight w:val="none"/>
        </w:rPr>
      </w:pPr>
    </w:p>
    <w:p>
      <w:pPr>
        <w:snapToGrid w:val="0"/>
        <w:spacing w:line="440" w:lineRule="exact"/>
        <w:ind w:firstLine="420"/>
        <w:rPr>
          <w:rFonts w:hint="eastAsia" w:ascii="仿宋_GB2312" w:hAnsi="仿宋_GB2312" w:eastAsia="仿宋_GB2312"/>
          <w:color w:val="auto"/>
          <w:highlight w:val="none"/>
        </w:rPr>
      </w:pPr>
    </w:p>
    <w:p>
      <w:pPr>
        <w:snapToGrid w:val="0"/>
        <w:spacing w:line="440" w:lineRule="exact"/>
        <w:ind w:firstLine="420"/>
        <w:rPr>
          <w:rFonts w:hint="eastAsia" w:ascii="仿宋_GB2312" w:hAnsi="仿宋_GB2312" w:eastAsia="仿宋_GB2312"/>
          <w:color w:val="auto"/>
          <w:highlight w:val="none"/>
        </w:rPr>
      </w:pPr>
    </w:p>
    <w:p>
      <w:pPr>
        <w:snapToGrid w:val="0"/>
        <w:spacing w:line="440" w:lineRule="exact"/>
        <w:ind w:firstLine="420"/>
        <w:rPr>
          <w:rFonts w:hint="eastAsia" w:ascii="仿宋_GB2312" w:hAnsi="仿宋_GB2312" w:eastAsia="仿宋_GB2312"/>
          <w:color w:val="auto"/>
          <w:highlight w:val="none"/>
        </w:rPr>
      </w:pPr>
    </w:p>
    <w:p>
      <w:pPr>
        <w:snapToGrid w:val="0"/>
        <w:spacing w:line="360" w:lineRule="auto"/>
        <w:ind w:firstLine="3721"/>
        <w:rPr>
          <w:rFonts w:hint="eastAsia" w:ascii="仿宋_GB2312" w:hAnsi="仿宋_GB2312" w:eastAsia="仿宋_GB2312"/>
          <w:color w:val="auto"/>
          <w:highlight w:val="none"/>
        </w:rPr>
      </w:pPr>
      <w:r>
        <w:rPr>
          <w:rFonts w:hint="eastAsia" w:ascii="仿宋" w:hAnsi="仿宋" w:eastAsia="仿宋" w:cs="仿宋"/>
          <w:color w:val="auto"/>
          <w:highlight w:val="none"/>
          <w:lang w:bidi="ar"/>
        </w:rPr>
        <w:t xml:space="preserve">         </w:t>
      </w:r>
      <w:r>
        <w:rPr>
          <w:rFonts w:hint="eastAsia" w:ascii="仿宋" w:hAnsi="仿宋" w:eastAsia="仿宋" w:cs="仿宋"/>
          <w:color w:val="auto"/>
          <w:highlight w:val="none"/>
          <w:lang w:val="en-US" w:eastAsia="zh-CN" w:bidi="ar"/>
        </w:rPr>
        <w:t xml:space="preserve">  </w:t>
      </w:r>
      <w:r>
        <w:rPr>
          <w:rFonts w:hint="eastAsia" w:ascii="仿宋_GB2312" w:hAnsi="仿宋_GB2312" w:eastAsia="仿宋_GB2312"/>
          <w:color w:val="auto"/>
          <w:highlight w:val="none"/>
        </w:rPr>
        <w:t>投标人：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 w:hAnsi="仿宋" w:eastAsia="仿宋" w:cs="仿宋_GB2312"/>
          <w:color w:val="auto"/>
          <w:highlight w:val="none"/>
        </w:rPr>
        <w:t>企业电子签章</w:t>
      </w:r>
      <w:r>
        <w:rPr>
          <w:rFonts w:hint="eastAsia" w:ascii="仿宋_GB2312" w:hAnsi="仿宋_GB2312" w:eastAsia="仿宋_GB2312"/>
          <w:color w:val="auto"/>
          <w:highlight w:val="none"/>
        </w:rPr>
        <w:t>）</w:t>
      </w:r>
    </w:p>
    <w:p>
      <w:pPr>
        <w:snapToGrid w:val="0"/>
        <w:spacing w:line="360" w:lineRule="auto"/>
        <w:ind w:firstLine="4560" w:firstLineChars="1900"/>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项目经理：</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spacing w:line="360" w:lineRule="auto"/>
        <w:rPr>
          <w:rFonts w:hint="eastAsia" w:ascii="仿宋" w:hAnsi="仿宋" w:eastAsia="仿宋" w:cs="仿宋_GB2312"/>
          <w:b/>
          <w:color w:val="auto"/>
          <w:sz w:val="28"/>
          <w:szCs w:val="28"/>
          <w:highlight w:val="none"/>
        </w:rPr>
      </w:pPr>
      <w:r>
        <w:rPr>
          <w:rFonts w:hint="eastAsia" w:ascii="仿宋_GB2312" w:hAnsi="仿宋_GB2312" w:eastAsia="仿宋_GB2312"/>
          <w:color w:val="auto"/>
          <w:highlight w:val="none"/>
        </w:rPr>
        <w:t xml:space="preserve">                                                   年    月    日</w:t>
      </w: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outlineLvl w:val="1"/>
        <w:rPr>
          <w:color w:val="auto"/>
          <w:highlight w:val="none"/>
        </w:rPr>
      </w:pPr>
      <w:r>
        <w:rPr>
          <w:color w:val="auto"/>
          <w:highlight w:val="none"/>
        </w:rPr>
        <w:br w:type="page"/>
      </w: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left"/>
        <w:outlineLvl w:val="2"/>
        <w:rPr>
          <w:color w:val="auto"/>
          <w:highlight w:val="none"/>
        </w:rPr>
      </w:pPr>
      <w:r>
        <w:rPr>
          <w:rFonts w:hint="eastAsia" w:ascii="仿宋_GB2312" w:hAnsi="仿宋_GB2312" w:eastAsia="仿宋_GB2312"/>
          <w:b w:val="0"/>
          <w:bCs w:val="0"/>
          <w:color w:val="auto"/>
          <w:highlight w:val="none"/>
        </w:rPr>
        <w:t>附</w:t>
      </w:r>
      <w:r>
        <w:rPr>
          <w:rFonts w:hint="eastAsia" w:ascii="仿宋_GB2312" w:hAnsi="仿宋_GB2312" w:eastAsia="仿宋_GB2312"/>
          <w:b w:val="0"/>
          <w:bCs w:val="0"/>
          <w:color w:val="auto"/>
          <w:highlight w:val="none"/>
          <w:lang w:val="en-US" w:eastAsia="zh-CN"/>
        </w:rPr>
        <w:t>4</w:t>
      </w:r>
      <w:r>
        <w:rPr>
          <w:rFonts w:hint="eastAsia" w:ascii="仿宋_GB2312" w:hAnsi="仿宋_GB2312" w:eastAsia="仿宋_GB2312"/>
          <w:b w:val="0"/>
          <w:bCs w:val="0"/>
          <w:color w:val="auto"/>
          <w:highlight w:val="none"/>
        </w:rPr>
        <w:t>：项目经理</w:t>
      </w:r>
      <w:r>
        <w:rPr>
          <w:rFonts w:hint="eastAsia" w:ascii="仿宋_GB2312" w:hAnsi="仿宋_GB2312" w:eastAsia="仿宋_GB2312"/>
          <w:b w:val="0"/>
          <w:bCs w:val="0"/>
          <w:color w:val="auto"/>
          <w:highlight w:val="none"/>
          <w:lang w:eastAsia="zh-CN"/>
        </w:rPr>
        <w:t>是否存在在建项目的声明函</w:t>
      </w: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outlineLvl w:val="1"/>
        <w:rPr>
          <w:rFonts w:hint="eastAsia" w:ascii="仿宋_GB2312" w:hAnsi="仿宋_GB2312" w:eastAsia="仿宋_GB2312"/>
          <w:b/>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outlineLvl w:val="1"/>
        <w:rPr>
          <w:rFonts w:hint="eastAsia" w:ascii="仿宋_GB2312" w:hAnsi="仿宋_GB2312" w:eastAsia="仿宋_GB2312"/>
          <w:b/>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outlineLvl w:val="1"/>
        <w:rPr>
          <w:rFonts w:hint="eastAsia" w:ascii="仿宋_GB2312" w:hAnsi="仿宋_GB2312" w:eastAsia="仿宋_GB2312"/>
          <w:b/>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outlineLvl w:val="3"/>
        <w:rPr>
          <w:rFonts w:hint="eastAsia" w:ascii="仿宋_GB2312" w:hAnsi="仿宋_GB2312" w:eastAsia="仿宋_GB2312"/>
          <w:b/>
          <w:color w:val="auto"/>
          <w:sz w:val="28"/>
          <w:highlight w:val="none"/>
          <w:lang w:eastAsia="zh-CN"/>
        </w:rPr>
      </w:pPr>
      <w:r>
        <w:rPr>
          <w:rFonts w:hint="eastAsia" w:ascii="仿宋_GB2312" w:hAnsi="仿宋_GB2312" w:eastAsia="仿宋_GB2312"/>
          <w:b/>
          <w:color w:val="auto"/>
          <w:highlight w:val="none"/>
        </w:rPr>
        <w:t>项目经理</w:t>
      </w:r>
      <w:r>
        <w:rPr>
          <w:rFonts w:hint="eastAsia" w:ascii="仿宋_GB2312" w:hAnsi="仿宋_GB2312" w:eastAsia="仿宋_GB2312"/>
          <w:b/>
          <w:color w:val="auto"/>
          <w:highlight w:val="none"/>
          <w:lang w:eastAsia="zh-CN"/>
        </w:rPr>
        <w:t>是否存在在建项目的声明函</w:t>
      </w:r>
    </w:p>
    <w:p>
      <w:pPr>
        <w:tabs>
          <w:tab w:val="left" w:pos="916"/>
          <w:tab w:val="left" w:pos="1832"/>
          <w:tab w:val="left" w:pos="2748"/>
          <w:tab w:val="left" w:pos="3664"/>
          <w:tab w:val="left" w:pos="4580"/>
          <w:tab w:val="left" w:pos="5496"/>
          <w:tab w:val="left" w:pos="6412"/>
          <w:tab w:val="left" w:pos="7328"/>
          <w:tab w:val="left" w:pos="8244"/>
          <w:tab w:val="left" w:pos="9160"/>
        </w:tabs>
        <w:snapToGrid w:val="0"/>
        <w:jc w:val="center"/>
        <w:rPr>
          <w:rFonts w:hint="eastAsia" w:ascii="仿宋_GB2312" w:hAnsi="仿宋_GB2312" w:eastAsia="仿宋_GB2312"/>
          <w:b/>
          <w:color w:val="auto"/>
          <w:sz w:val="28"/>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single"/>
          <w:lang w:eastAsia="zh-CN"/>
        </w:rPr>
      </w:pPr>
      <w:r>
        <w:rPr>
          <w:rFonts w:hint="eastAsia" w:ascii="仿宋_GB2312" w:hAnsi="仿宋_GB2312" w:eastAsia="仿宋_GB2312"/>
          <w:color w:val="auto"/>
          <w:highlight w:val="none"/>
          <w:u w:val="none"/>
          <w:lang w:eastAsia="zh-CN"/>
        </w:rPr>
        <w:t>格式一：</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（招标人名称）：</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我方在此声明，我方拟派往</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（项目名称）（以下简称“本工程”）的项目经理</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（项目经理姓名）现阶段没有担任任何在施建设工程项目。</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我方保证上述</w:t>
      </w:r>
      <w:r>
        <w:rPr>
          <w:rFonts w:hint="eastAsia" w:ascii="仿宋_GB2312" w:hAnsi="仿宋_GB2312" w:eastAsia="仿宋_GB2312"/>
          <w:color w:val="auto"/>
          <w:highlight w:val="none"/>
          <w:lang w:eastAsia="zh-CN"/>
        </w:rPr>
        <w:t>声明</w:t>
      </w:r>
      <w:r>
        <w:rPr>
          <w:rFonts w:hint="eastAsia" w:ascii="仿宋_GB2312" w:hAnsi="仿宋_GB2312" w:eastAsia="仿宋_GB2312"/>
          <w:color w:val="auto"/>
          <w:highlight w:val="none"/>
        </w:rPr>
        <w:t>信息的真实和准确</w:t>
      </w:r>
      <w:r>
        <w:rPr>
          <w:rFonts w:hint="eastAsia" w:ascii="仿宋_GB2312" w:hAnsi="仿宋_GB2312" w:eastAsia="仿宋_GB2312"/>
          <w:color w:val="auto"/>
          <w:highlight w:val="none"/>
          <w:lang w:eastAsia="zh-CN"/>
        </w:rPr>
        <w:t>，并无任何隐瞒</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若我方提供不实信息，自愿放弃中标权利，</w:t>
      </w:r>
      <w:r>
        <w:rPr>
          <w:rFonts w:hint="eastAsia" w:ascii="仿宋_GB2312" w:hAnsi="仿宋_GB2312" w:eastAsia="仿宋_GB2312"/>
          <w:color w:val="auto"/>
          <w:highlight w:val="none"/>
        </w:rPr>
        <w:t>并愿意承担因我方就此弄虚作假所引起的一切法律后果。</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特此承诺！</w:t>
      </w: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w:t>
      </w:r>
      <w:r>
        <w:rPr>
          <w:rFonts w:hint="eastAsia" w:ascii="仿宋_GB2312" w:hAnsi="仿宋_GB2312" w:eastAsia="仿宋_GB2312"/>
          <w:color w:val="auto"/>
          <w:highlight w:val="none"/>
          <w:lang w:val="en-US" w:eastAsia="zh-CN"/>
        </w:rPr>
        <w:t xml:space="preserve">  </w:t>
      </w:r>
      <w:r>
        <w:rPr>
          <w:rFonts w:hint="eastAsia" w:ascii="仿宋_GB2312" w:hAnsi="仿宋_GB2312" w:eastAsia="仿宋_GB2312"/>
          <w:color w:val="auto"/>
          <w:highlight w:val="none"/>
        </w:rPr>
        <w:t>投标人：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 w:hAnsi="仿宋" w:eastAsia="仿宋" w:cs="仿宋_GB2312"/>
          <w:color w:val="auto"/>
          <w:highlight w:val="none"/>
        </w:rPr>
        <w:t>企业电子签章</w:t>
      </w:r>
      <w:r>
        <w:rPr>
          <w:rFonts w:hint="eastAsia" w:ascii="仿宋_GB2312" w:hAnsi="仿宋_GB2312" w:eastAsia="仿宋_GB2312"/>
          <w:color w:val="auto"/>
          <w:highlight w:val="none"/>
        </w:rPr>
        <w:t>）</w:t>
      </w:r>
    </w:p>
    <w:p>
      <w:pPr>
        <w:snapToGrid w:val="0"/>
        <w:spacing w:line="360" w:lineRule="auto"/>
        <w:ind w:firstLine="4560" w:firstLineChars="1900"/>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项目经理：</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年    月    日 </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jc w:val="center"/>
        <w:rPr>
          <w:rFonts w:hint="eastAsia" w:ascii="仿宋_GB2312" w:hAnsi="仿宋_GB2312" w:eastAsia="仿宋_GB2312"/>
          <w:b/>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jc w:val="center"/>
        <w:rPr>
          <w:rFonts w:hint="eastAsia" w:ascii="仿宋_GB2312" w:hAnsi="仿宋_GB2312" w:eastAsia="仿宋_GB2312"/>
          <w:b/>
          <w:color w:val="auto"/>
          <w:highlight w:val="none"/>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jc w:val="center"/>
        <w:outlineLvl w:val="3"/>
        <w:rPr>
          <w:rFonts w:hint="eastAsia" w:ascii="仿宋_GB2312" w:hAnsi="仿宋_GB2312" w:eastAsia="仿宋_GB2312"/>
          <w:color w:val="auto"/>
          <w:highlight w:val="none"/>
          <w:u w:val="none"/>
          <w:lang w:eastAsia="zh-CN"/>
        </w:rPr>
      </w:pPr>
      <w:r>
        <w:rPr>
          <w:rFonts w:hint="eastAsia" w:ascii="仿宋_GB2312" w:hAnsi="仿宋_GB2312" w:eastAsia="仿宋_GB2312"/>
          <w:b/>
          <w:color w:val="auto"/>
          <w:highlight w:val="none"/>
        </w:rPr>
        <w:t>项目经理</w:t>
      </w:r>
      <w:r>
        <w:rPr>
          <w:rFonts w:hint="eastAsia" w:ascii="仿宋_GB2312" w:hAnsi="仿宋_GB2312" w:eastAsia="仿宋_GB2312"/>
          <w:b/>
          <w:color w:val="auto"/>
          <w:highlight w:val="none"/>
          <w:lang w:eastAsia="zh-CN"/>
        </w:rPr>
        <w:t>是否存在在建项目的声明函</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none"/>
          <w:lang w:eastAsia="zh-CN"/>
        </w:rPr>
      </w:pP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u w:val="single"/>
          <w:lang w:eastAsia="zh-CN"/>
        </w:rPr>
      </w:pPr>
      <w:r>
        <w:rPr>
          <w:rFonts w:hint="eastAsia" w:ascii="仿宋_GB2312" w:hAnsi="仿宋_GB2312" w:eastAsia="仿宋_GB2312"/>
          <w:color w:val="auto"/>
          <w:highlight w:val="none"/>
          <w:u w:val="none"/>
          <w:lang w:eastAsia="zh-CN"/>
        </w:rPr>
        <w:t>格式二：</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（招标人名称）：</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我方在此声明，我方拟派往</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（项目名称）（以下简称“本工程”）的项目经理</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（项目经理姓名）</w:t>
      </w:r>
      <w:r>
        <w:rPr>
          <w:rFonts w:hint="eastAsia" w:ascii="仿宋_GB2312" w:hAnsi="仿宋_GB2312" w:eastAsia="仿宋_GB2312"/>
          <w:color w:val="auto"/>
          <w:highlight w:val="none"/>
          <w:lang w:eastAsia="zh-CN"/>
        </w:rPr>
        <w:t>目前存在在建项目，在建项目情况如下：</w:t>
      </w:r>
    </w:p>
    <w:tbl>
      <w:tblPr>
        <w:tblStyle w:val="24"/>
        <w:tblW w:w="9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2227"/>
        <w:gridCol w:w="1040"/>
        <w:gridCol w:w="1413"/>
        <w:gridCol w:w="1254"/>
        <w:gridCol w:w="1440"/>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pStyle w:val="2"/>
              <w:widowControl w:val="0"/>
              <w:ind w:left="0" w:leftChars="0" w:firstLine="0" w:firstLineChars="0"/>
              <w:jc w:val="center"/>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序号</w:t>
            </w:r>
          </w:p>
        </w:tc>
        <w:tc>
          <w:tcPr>
            <w:tcW w:w="2227" w:type="dxa"/>
            <w:vAlign w:val="center"/>
          </w:tcPr>
          <w:p>
            <w:pPr>
              <w:pStyle w:val="2"/>
              <w:widowControl w:val="0"/>
              <w:ind w:left="0" w:leftChars="0" w:firstLine="0" w:firstLineChars="0"/>
              <w:jc w:val="center"/>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在建项目名称</w:t>
            </w:r>
          </w:p>
        </w:tc>
        <w:tc>
          <w:tcPr>
            <w:tcW w:w="1040" w:type="dxa"/>
            <w:vAlign w:val="center"/>
          </w:tcPr>
          <w:p>
            <w:pPr>
              <w:pStyle w:val="2"/>
              <w:widowControl w:val="0"/>
              <w:ind w:left="0" w:leftChars="0" w:firstLine="0" w:firstLineChars="0"/>
              <w:jc w:val="center"/>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标段</w:t>
            </w:r>
          </w:p>
        </w:tc>
        <w:tc>
          <w:tcPr>
            <w:tcW w:w="1413" w:type="dxa"/>
            <w:vAlign w:val="center"/>
          </w:tcPr>
          <w:p>
            <w:pPr>
              <w:pStyle w:val="2"/>
              <w:widowControl w:val="0"/>
              <w:ind w:left="0" w:leftChars="0" w:firstLine="0" w:firstLineChars="0"/>
              <w:jc w:val="center"/>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建设单位</w:t>
            </w:r>
          </w:p>
        </w:tc>
        <w:tc>
          <w:tcPr>
            <w:tcW w:w="1254" w:type="dxa"/>
            <w:vAlign w:val="center"/>
          </w:tcPr>
          <w:p>
            <w:pPr>
              <w:pStyle w:val="2"/>
              <w:widowControl w:val="0"/>
              <w:ind w:left="0" w:leftChars="0" w:firstLine="0" w:firstLineChars="0"/>
              <w:jc w:val="center"/>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合同金额</w:t>
            </w:r>
          </w:p>
        </w:tc>
        <w:tc>
          <w:tcPr>
            <w:tcW w:w="1440" w:type="dxa"/>
            <w:vAlign w:val="center"/>
          </w:tcPr>
          <w:p>
            <w:pPr>
              <w:pStyle w:val="2"/>
              <w:widowControl w:val="0"/>
              <w:ind w:left="0" w:leftChars="0" w:firstLine="0" w:firstLineChars="0"/>
              <w:jc w:val="both"/>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开竣工日期</w:t>
            </w:r>
          </w:p>
        </w:tc>
        <w:tc>
          <w:tcPr>
            <w:tcW w:w="1699" w:type="dxa"/>
            <w:vAlign w:val="center"/>
          </w:tcPr>
          <w:p>
            <w:pPr>
              <w:pStyle w:val="2"/>
              <w:widowControl w:val="0"/>
              <w:ind w:left="0" w:leftChars="0" w:firstLine="0" w:firstLineChars="0"/>
              <w:jc w:val="both"/>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建设单位联系人及联系方式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pStyle w:val="2"/>
              <w:widowControl w:val="0"/>
              <w:jc w:val="center"/>
              <w:rPr>
                <w:rFonts w:hint="default" w:ascii="仿宋_GB2312" w:hAnsi="仿宋_GB2312" w:eastAsia="仿宋_GB2312"/>
                <w:color w:val="auto"/>
                <w:highlight w:val="none"/>
                <w:vertAlign w:val="baseline"/>
                <w:lang w:val="en-US" w:eastAsia="zh-CN"/>
              </w:rPr>
            </w:pPr>
            <w:r>
              <w:rPr>
                <w:rFonts w:hint="eastAsia" w:ascii="仿宋_GB2312" w:hAnsi="仿宋_GB2312" w:eastAsia="仿宋_GB2312"/>
                <w:color w:val="auto"/>
                <w:highlight w:val="none"/>
                <w:vertAlign w:val="baseline"/>
                <w:lang w:val="en-US" w:eastAsia="zh-CN"/>
              </w:rPr>
              <w:t>1</w:t>
            </w:r>
          </w:p>
        </w:tc>
        <w:tc>
          <w:tcPr>
            <w:tcW w:w="2227"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c>
          <w:tcPr>
            <w:tcW w:w="1040"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c>
          <w:tcPr>
            <w:tcW w:w="1413"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c>
          <w:tcPr>
            <w:tcW w:w="1254"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c>
          <w:tcPr>
            <w:tcW w:w="1440"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c>
          <w:tcPr>
            <w:tcW w:w="1699" w:type="dxa"/>
            <w:vAlign w:val="center"/>
          </w:tcPr>
          <w:p>
            <w:pPr>
              <w:pStyle w:val="2"/>
              <w:widowControl w:val="0"/>
              <w:jc w:val="center"/>
              <w:rPr>
                <w:rFonts w:hint="eastAsia" w:ascii="仿宋_GB2312" w:hAnsi="仿宋_GB2312" w:eastAsia="仿宋_GB2312"/>
                <w:color w:val="auto"/>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8" w:type="dxa"/>
            <w:gridSpan w:val="7"/>
            <w:vAlign w:val="center"/>
          </w:tcPr>
          <w:p>
            <w:pPr>
              <w:pStyle w:val="2"/>
              <w:widowControl w:val="0"/>
              <w:ind w:left="0" w:leftChars="0" w:firstLine="0" w:firstLineChars="0"/>
              <w:jc w:val="left"/>
              <w:rPr>
                <w:rFonts w:hint="eastAsia" w:ascii="仿宋_GB2312" w:hAnsi="仿宋_GB2312" w:eastAsia="仿宋_GB2312"/>
                <w:color w:val="auto"/>
                <w:highlight w:val="none"/>
                <w:vertAlign w:val="baseline"/>
                <w:lang w:eastAsia="zh-CN"/>
              </w:rPr>
            </w:pPr>
            <w:r>
              <w:rPr>
                <w:rFonts w:hint="eastAsia" w:ascii="仿宋_GB2312" w:hAnsi="仿宋_GB2312" w:eastAsia="仿宋_GB2312"/>
                <w:color w:val="auto"/>
                <w:highlight w:val="none"/>
                <w:vertAlign w:val="baseline"/>
                <w:lang w:eastAsia="zh-CN"/>
              </w:rPr>
              <w:t>注：在建项目根据实施阶段情况提供有关资料，①中标未领取中标通知书的须提供中标公告或其他证明材料；②中标未签订合同的须提供中标通知书；③已签订合同的须提供中标通知书、合同协议书。标明有在建项目，但不按要求提供资料的，投标将被否决。</w:t>
            </w:r>
          </w:p>
        </w:tc>
      </w:tr>
    </w:tbl>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ind w:firstLine="420"/>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shd w:val="clear" w:color="000000" w:fill="auto"/>
          <w:lang w:eastAsia="zh-CN"/>
        </w:rPr>
        <w:t>我方承诺</w:t>
      </w:r>
      <w:r>
        <w:rPr>
          <w:rFonts w:hint="eastAsia" w:ascii="仿宋_GB2312" w:hAnsi="仿宋_GB2312" w:eastAsia="仿宋_GB2312"/>
          <w:color w:val="auto"/>
          <w:highlight w:val="none"/>
        </w:rPr>
        <w:t>我方</w:t>
      </w:r>
      <w:r>
        <w:rPr>
          <w:rFonts w:hint="eastAsia" w:ascii="仿宋_GB2312" w:hAnsi="仿宋_GB2312" w:eastAsia="仿宋_GB2312"/>
          <w:color w:val="auto"/>
          <w:highlight w:val="none"/>
          <w:lang w:eastAsia="zh-CN"/>
        </w:rPr>
        <w:t>中标后，合同签订时我方将向招标人提交上述项目竣工报告或在建项目建设单位同意项目经理离岗（或变更）的证明，须经建设主管部门备案的，还将提供离岗（或变更）备案信息，否则招标人有权不予我方签订合同，并有权追究我方违约责任。</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ind w:firstLine="420"/>
        <w:rPr>
          <w:rFonts w:hint="eastAsia" w:ascii="仿宋_GB2312" w:hAnsi="仿宋_GB2312" w:eastAsia="仿宋_GB2312"/>
          <w:color w:val="auto"/>
          <w:highlight w:val="none"/>
        </w:rPr>
      </w:pPr>
      <w:r>
        <w:rPr>
          <w:rFonts w:hint="eastAsia" w:ascii="仿宋_GB2312" w:hAnsi="仿宋_GB2312" w:eastAsia="仿宋_GB2312"/>
          <w:color w:val="auto"/>
          <w:highlight w:val="none"/>
        </w:rPr>
        <w:t>我方保证上述</w:t>
      </w:r>
      <w:r>
        <w:rPr>
          <w:rFonts w:hint="eastAsia" w:ascii="仿宋_GB2312" w:hAnsi="仿宋_GB2312" w:eastAsia="仿宋_GB2312"/>
          <w:color w:val="auto"/>
          <w:highlight w:val="none"/>
          <w:lang w:eastAsia="zh-CN"/>
        </w:rPr>
        <w:t>声明</w:t>
      </w:r>
      <w:r>
        <w:rPr>
          <w:rFonts w:hint="eastAsia" w:ascii="仿宋_GB2312" w:hAnsi="仿宋_GB2312" w:eastAsia="仿宋_GB2312"/>
          <w:color w:val="auto"/>
          <w:highlight w:val="none"/>
        </w:rPr>
        <w:t>信息的真实和准确</w:t>
      </w:r>
      <w:r>
        <w:rPr>
          <w:rFonts w:hint="eastAsia" w:ascii="仿宋_GB2312" w:hAnsi="仿宋_GB2312" w:eastAsia="仿宋_GB2312"/>
          <w:color w:val="auto"/>
          <w:highlight w:val="none"/>
          <w:lang w:eastAsia="zh-CN"/>
        </w:rPr>
        <w:t>，并无任何隐瞒</w:t>
      </w:r>
      <w:r>
        <w:rPr>
          <w:rFonts w:hint="eastAsia" w:ascii="仿宋_GB2312" w:hAnsi="仿宋_GB2312" w:eastAsia="仿宋_GB2312"/>
          <w:color w:val="auto"/>
          <w:highlight w:val="none"/>
        </w:rPr>
        <w:t>，</w:t>
      </w:r>
      <w:r>
        <w:rPr>
          <w:rFonts w:hint="eastAsia" w:ascii="仿宋_GB2312" w:hAnsi="仿宋_GB2312" w:eastAsia="仿宋_GB2312"/>
          <w:color w:val="auto"/>
          <w:highlight w:val="none"/>
          <w:lang w:eastAsia="zh-CN"/>
        </w:rPr>
        <w:t>若我方提供不实信息，自愿放弃中标权利，</w:t>
      </w:r>
      <w:r>
        <w:rPr>
          <w:rFonts w:hint="eastAsia" w:ascii="仿宋_GB2312" w:hAnsi="仿宋_GB2312" w:eastAsia="仿宋_GB2312"/>
          <w:color w:val="auto"/>
          <w:highlight w:val="none"/>
        </w:rPr>
        <w:t>并愿意承担因我方就此弄虚作假所引起的一切法律后果。</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特此承诺！</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p>
    <w:p>
      <w:pPr>
        <w:snapToGrid w:val="0"/>
        <w:spacing w:line="360" w:lineRule="auto"/>
        <w:ind w:firstLine="3721"/>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投标人：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 w:hAnsi="仿宋" w:eastAsia="仿宋" w:cs="仿宋_GB2312"/>
          <w:color w:val="auto"/>
          <w:highlight w:val="none"/>
        </w:rPr>
        <w:t>企业电子签章</w:t>
      </w:r>
      <w:r>
        <w:rPr>
          <w:rFonts w:hint="eastAsia" w:ascii="仿宋_GB2312" w:hAnsi="仿宋_GB2312" w:eastAsia="仿宋_GB2312"/>
          <w:color w:val="auto"/>
          <w:highlight w:val="none"/>
        </w:rPr>
        <w:t>）</w:t>
      </w:r>
    </w:p>
    <w:p>
      <w:pPr>
        <w:snapToGrid w:val="0"/>
        <w:spacing w:line="360" w:lineRule="auto"/>
        <w:ind w:firstLine="4560" w:firstLineChars="1900"/>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项目经理：</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u w:val="single"/>
          <w:lang w:val="en-US" w:eastAsia="zh-CN"/>
        </w:rPr>
        <w:t xml:space="preserve"> </w:t>
      </w:r>
      <w:r>
        <w:rPr>
          <w:rFonts w:hint="eastAsia" w:ascii="仿宋_GB2312" w:hAnsi="仿宋_GB2312" w:eastAsia="仿宋_GB2312"/>
          <w:color w:val="auto"/>
          <w:highlight w:val="none"/>
          <w:u w:val="single"/>
        </w:rPr>
        <w:t xml:space="preserve">  </w:t>
      </w:r>
      <w:r>
        <w:rPr>
          <w:rFonts w:hint="eastAsia" w:ascii="仿宋_GB2312" w:hAnsi="仿宋_GB2312" w:eastAsia="仿宋_GB2312"/>
          <w:color w:val="auto"/>
          <w:highlight w:val="none"/>
        </w:rPr>
        <w:t>（</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tabs>
          <w:tab w:val="left" w:pos="916"/>
          <w:tab w:val="left" w:pos="1832"/>
          <w:tab w:val="left" w:pos="2748"/>
          <w:tab w:val="left" w:pos="3664"/>
          <w:tab w:val="left" w:pos="4580"/>
          <w:tab w:val="left" w:pos="5496"/>
          <w:tab w:val="left" w:pos="6412"/>
          <w:tab w:val="left" w:pos="7328"/>
          <w:tab w:val="left" w:pos="8244"/>
          <w:tab w:val="left" w:pos="91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年    月    日 </w:t>
      </w:r>
    </w:p>
    <w:p>
      <w:pPr>
        <w:snapToGrid w:val="0"/>
        <w:spacing w:line="360" w:lineRule="auto"/>
        <w:rPr>
          <w:rFonts w:hint="eastAsia" w:ascii="仿宋_GB2312" w:hAnsi="仿宋_GB2312" w:eastAsia="仿宋_GB2312"/>
          <w:color w:val="auto"/>
          <w:highlight w:val="none"/>
        </w:rPr>
      </w:pPr>
    </w:p>
    <w:p>
      <w:pPr>
        <w:snapToGrid w:val="0"/>
        <w:spacing w:line="360" w:lineRule="auto"/>
        <w:rPr>
          <w:rFonts w:hint="eastAsia" w:ascii="仿宋_GB2312" w:hAnsi="仿宋_GB2312" w:eastAsia="仿宋_GB2312"/>
          <w:color w:val="auto"/>
          <w:highlight w:val="none"/>
          <w:lang w:eastAsia="zh-CN"/>
        </w:rPr>
      </w:pPr>
      <w:r>
        <w:rPr>
          <w:rFonts w:hint="eastAsia" w:ascii="仿宋_GB2312" w:hAnsi="仿宋_GB2312" w:eastAsia="仿宋_GB2312"/>
          <w:color w:val="auto"/>
          <w:highlight w:val="none"/>
          <w:lang w:eastAsia="zh-CN"/>
        </w:rPr>
        <w:t>注：根据项目经理自身情况，选择格式填写声明函（必须二选一）</w:t>
      </w:r>
      <w:r>
        <w:rPr>
          <w:rFonts w:hint="eastAsia" w:ascii="仿宋_GB2312" w:hAnsi="仿宋_GB2312" w:eastAsia="仿宋_GB2312"/>
          <w:b/>
          <w:color w:val="auto"/>
          <w:highlight w:val="none"/>
          <w:lang w:eastAsia="zh-CN"/>
        </w:rPr>
        <w:t>。</w:t>
      </w:r>
    </w:p>
    <w:p>
      <w:pPr>
        <w:numPr>
          <w:ilvl w:val="0"/>
          <w:numId w:val="7"/>
        </w:numPr>
        <w:snapToGrid w:val="0"/>
        <w:spacing w:line="360" w:lineRule="auto"/>
        <w:jc w:val="center"/>
        <w:outlineLvl w:val="1"/>
        <w:rPr>
          <w:rFonts w:hint="eastAsia" w:ascii="仿宋_GB2312" w:hAnsi="仿宋_GB2312" w:eastAsia="仿宋_GB2312"/>
          <w:color w:val="auto"/>
          <w:highlight w:val="none"/>
        </w:rPr>
      </w:pPr>
      <w:r>
        <w:rPr>
          <w:color w:val="auto"/>
          <w:highlight w:val="none"/>
        </w:rPr>
        <w:br w:type="page"/>
      </w:r>
      <w:bookmarkStart w:id="66" w:name="_Toc1886"/>
      <w:r>
        <w:rPr>
          <w:rFonts w:hint="eastAsia" w:ascii="仿宋_GB2312" w:hAnsi="仿宋_GB2312" w:eastAsia="仿宋_GB2312"/>
          <w:color w:val="auto"/>
          <w:highlight w:val="none"/>
        </w:rPr>
        <w:t>资格审查资料</w:t>
      </w:r>
      <w:bookmarkEnd w:id="66"/>
    </w:p>
    <w:p>
      <w:pPr>
        <w:snapToGrid w:val="0"/>
        <w:spacing w:line="360" w:lineRule="auto"/>
        <w:ind w:firstLine="422"/>
        <w:outlineLvl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1、满足政府采购法第二十二条应具备的资格条件：</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1.1具有独立承担民事责任的能力；【投标文件中提供营业执照、税务登记证、企业组织代码证复印件（或三证合一的营业执照复印件或五证合一的营业执照复印件），或其他同等效力的证明文件】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                               其他投标材料</w:t>
      </w: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76" w:type="dxa"/>
            <w:gridSpan w:val="2"/>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其他投标材料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r>
    </w:tbl>
    <w:p>
      <w:pPr>
        <w:spacing w:line="360" w:lineRule="auto"/>
        <w:ind w:firstLine="420"/>
        <w:rPr>
          <w:rFonts w:hint="eastAsia" w:ascii="仿宋" w:hAnsi="仿宋" w:eastAsia="仿宋" w:cs="仿宋"/>
          <w:color w:val="auto"/>
          <w:sz w:val="24"/>
          <w:szCs w:val="24"/>
          <w:highlight w:val="none"/>
        </w:rPr>
      </w:pP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r>
    </w:tbl>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注：投标人此部分证件建议上传至投标文件-评审资料-其他投标材料项</w:t>
      </w:r>
      <w:r>
        <w:rPr>
          <w:rFonts w:hint="eastAsia" w:ascii="仿宋" w:hAnsi="仿宋" w:eastAsia="仿宋" w:cs="仿宋"/>
          <w:color w:val="auto"/>
          <w:sz w:val="24"/>
          <w:szCs w:val="24"/>
          <w:highlight w:val="none"/>
          <w:lang w:eastAsia="zh-CN"/>
        </w:rPr>
        <w:t>或基本信息项</w:t>
      </w:r>
      <w:r>
        <w:rPr>
          <w:rFonts w:hint="eastAsia" w:ascii="仿宋" w:hAnsi="仿宋" w:eastAsia="仿宋" w:cs="仿宋"/>
          <w:color w:val="auto"/>
          <w:sz w:val="24"/>
          <w:szCs w:val="24"/>
          <w:highlight w:val="none"/>
        </w:rPr>
        <w:t>外，还建议在投标文件中此处重新附上此部分证件扫描件。</w:t>
      </w:r>
    </w:p>
    <w:p>
      <w:pPr>
        <w:pStyle w:val="22"/>
        <w:rPr>
          <w:rFonts w:hint="eastAsia"/>
          <w:color w:val="auto"/>
          <w:sz w:val="24"/>
          <w:szCs w:val="24"/>
          <w:highlight w:val="none"/>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1.2具有良好的商业信誉及健全的财务会计制度；【投标文件中</w:t>
      </w:r>
      <w:r>
        <w:rPr>
          <w:rFonts w:hint="eastAsia" w:ascii="仿宋_GB2312" w:hAnsi="仿宋_GB2312" w:eastAsia="仿宋_GB2312"/>
          <w:color w:val="auto"/>
          <w:sz w:val="24"/>
          <w:szCs w:val="24"/>
          <w:highlight w:val="none"/>
          <w:shd w:val="clear" w:color="000000" w:fill="auto"/>
        </w:rPr>
        <w:t>提供①</w:t>
      </w:r>
      <w:r>
        <w:rPr>
          <w:rFonts w:hint="eastAsia" w:ascii="仿宋_GB2312" w:hAnsi="仿宋_GB2312" w:eastAsia="仿宋_GB2312"/>
          <w:color w:val="auto"/>
          <w:sz w:val="24"/>
          <w:szCs w:val="24"/>
          <w:highlight w:val="none"/>
        </w:rPr>
        <w:t>具有良好的商业信誉，没有处于被责令停业，投标资格被取消，财产被接管、冻结，破产状态；参加政府采购活动前三年内，在经营活动中没有重大违法记录，无骗取中标或严重违约或重大工程质量问题的声明函</w:t>
      </w:r>
      <w:r>
        <w:rPr>
          <w:rFonts w:hint="eastAsia" w:ascii="仿宋_GB2312" w:hAnsi="仿宋_GB2312" w:eastAsia="仿宋_GB2312"/>
          <w:b/>
          <w:bCs/>
          <w:color w:val="auto"/>
          <w:sz w:val="24"/>
          <w:szCs w:val="24"/>
          <w:highlight w:val="none"/>
        </w:rPr>
        <w:t>（格式自拟）</w:t>
      </w:r>
      <w:r>
        <w:rPr>
          <w:rFonts w:hint="eastAsia" w:ascii="仿宋_GB2312" w:hAnsi="仿宋_GB2312" w:eastAsia="仿宋_GB2312"/>
          <w:color w:val="auto"/>
          <w:sz w:val="24"/>
          <w:szCs w:val="24"/>
          <w:highlight w:val="none"/>
        </w:rPr>
        <w:t>；②</w:t>
      </w:r>
      <w:r>
        <w:rPr>
          <w:rFonts w:hint="eastAsia" w:ascii="仿宋_GB2312" w:hAnsi="仿宋_GB2312" w:eastAsia="仿宋_GB2312"/>
          <w:color w:val="auto"/>
          <w:sz w:val="24"/>
          <w:szCs w:val="24"/>
          <w:highlight w:val="none"/>
          <w:shd w:val="clear" w:color="000000" w:fill="auto"/>
          <w:lang w:eastAsia="zh-CN"/>
        </w:rPr>
        <w:t>提供2019年度审计报告，公司成立时间不足一年的，附自行出具的财务报表说明或2020年1月1日以来基本户银行出具的资信证明</w:t>
      </w:r>
      <w:r>
        <w:rPr>
          <w:rFonts w:hint="eastAsia" w:ascii="仿宋" w:hAnsi="仿宋" w:eastAsia="仿宋" w:cs="仿宋"/>
          <w:color w:val="auto"/>
          <w:sz w:val="24"/>
          <w:szCs w:val="24"/>
          <w:highlight w:val="none"/>
        </w:rPr>
        <w:t>】</w:t>
      </w:r>
    </w:p>
    <w:p>
      <w:pPr>
        <w:snapToGrid w:val="0"/>
        <w:spacing w:line="360" w:lineRule="auto"/>
        <w:ind w:firstLine="422"/>
        <w:rPr>
          <w:rFonts w:hint="eastAsia" w:ascii="仿宋" w:hAnsi="仿宋" w:eastAsia="仿宋" w:cs="仿宋"/>
          <w:color w:val="auto"/>
          <w:sz w:val="24"/>
          <w:szCs w:val="24"/>
          <w:highlight w:val="none"/>
          <w:lang w:eastAsia="zh-CN"/>
        </w:rPr>
      </w:pPr>
      <w:r>
        <w:rPr>
          <w:rFonts w:hint="eastAsia" w:ascii="仿宋_GB2312" w:hAnsi="仿宋_GB2312" w:eastAsia="仿宋_GB2312"/>
          <w:color w:val="auto"/>
          <w:sz w:val="24"/>
          <w:szCs w:val="24"/>
          <w:highlight w:val="none"/>
          <w:shd w:val="clear" w:color="000000" w:fill="auto"/>
          <w:lang w:eastAsia="zh-CN"/>
        </w:rPr>
        <w:t>提供审计报告</w:t>
      </w:r>
      <w:r>
        <w:rPr>
          <w:rFonts w:hint="eastAsia" w:ascii="仿宋_GB2312" w:hAnsi="仿宋_GB2312" w:eastAsia="仿宋_GB2312"/>
          <w:color w:val="auto"/>
          <w:sz w:val="24"/>
          <w:szCs w:val="24"/>
          <w:highlight w:val="none"/>
        </w:rPr>
        <w:t>应包括并不限于资产负债表、现金流量表、利润表和财务情况说明书(或附注)</w:t>
      </w:r>
      <w:r>
        <w:rPr>
          <w:rFonts w:hint="eastAsia" w:ascii="仿宋_GB2312" w:hAnsi="仿宋_GB2312" w:eastAsia="仿宋_GB2312"/>
          <w:color w:val="auto"/>
          <w:sz w:val="24"/>
          <w:szCs w:val="24"/>
          <w:highlight w:val="none"/>
          <w:lang w:eastAsia="zh-CN"/>
        </w:rPr>
        <w:t>，</w:t>
      </w:r>
      <w:r>
        <w:rPr>
          <w:rFonts w:hint="eastAsia" w:ascii="仿宋" w:hAnsi="仿宋" w:eastAsia="仿宋" w:cs="仿宋"/>
          <w:color w:val="auto"/>
          <w:sz w:val="24"/>
          <w:szCs w:val="24"/>
          <w:highlight w:val="none"/>
        </w:rPr>
        <w:t>参考《财政部关于注册会计师在审计报告上签名盖章有关问题的通知》（财会【2001】1035号）规定，审计报告应当由两名具备相关业务资格的注册会计师签名盖章并经会计师事务所盖章，注册会计师执业时间在年度审核时间内方为有效</w:t>
      </w:r>
      <w:r>
        <w:rPr>
          <w:rFonts w:hint="eastAsia" w:ascii="仿宋" w:hAnsi="仿宋" w:eastAsia="仿宋" w:cs="仿宋"/>
          <w:color w:val="auto"/>
          <w:sz w:val="24"/>
          <w:szCs w:val="24"/>
          <w:highlight w:val="none"/>
          <w:lang w:eastAsia="zh-CN"/>
        </w:rPr>
        <w:t>，报告实行网上年检的，须提供可查询渠道，疫情期间根据《中国注册会计师协会关于开展2020年度注册会计师任职资格检查工作的通知》</w:t>
      </w:r>
      <w:r>
        <w:rPr>
          <w:rFonts w:hint="eastAsia" w:ascii="仿宋" w:hAnsi="仿宋" w:eastAsia="仿宋" w:cs="仿宋"/>
          <w:color w:val="auto"/>
          <w:sz w:val="24"/>
          <w:szCs w:val="24"/>
          <w:highlight w:val="none"/>
          <w:lang w:val="en-US" w:eastAsia="zh-CN"/>
        </w:rPr>
        <w:t>2019</w:t>
      </w:r>
      <w:r>
        <w:rPr>
          <w:rFonts w:hint="eastAsia" w:ascii="仿宋" w:hAnsi="仿宋" w:eastAsia="仿宋" w:cs="仿宋"/>
          <w:color w:val="auto"/>
          <w:sz w:val="24"/>
          <w:szCs w:val="24"/>
          <w:highlight w:val="none"/>
          <w:lang w:eastAsia="zh-CN"/>
        </w:rPr>
        <w:t>度注册会计师年检有效期统一延长至8月31日。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                               企业财务情况</w:t>
      </w: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6" w:type="dxa"/>
            <w:gridSpan w:val="2"/>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r>
    </w:tbl>
    <w:p>
      <w:pPr>
        <w:spacing w:line="360" w:lineRule="auto"/>
        <w:ind w:firstLine="420"/>
        <w:rPr>
          <w:rFonts w:hint="eastAsia" w:ascii="仿宋" w:hAnsi="仿宋" w:eastAsia="仿宋" w:cs="仿宋"/>
          <w:color w:val="auto"/>
          <w:sz w:val="24"/>
          <w:szCs w:val="24"/>
          <w:highlight w:val="none"/>
        </w:rPr>
      </w:pP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r>
    </w:tbl>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注：投标人此部分财务材料建议上传至投标文件-评审资料-企业财务情况项外，还建议在投标文件中此处重新附上此部分材料扫描件。</w:t>
      </w:r>
    </w:p>
    <w:p>
      <w:pPr>
        <w:pStyle w:val="22"/>
        <w:rPr>
          <w:rFonts w:hint="eastAsia"/>
          <w:color w:val="auto"/>
          <w:sz w:val="24"/>
          <w:szCs w:val="24"/>
          <w:highlight w:val="none"/>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1.3具有履行合同所必需的设备和专业技术能力；</w:t>
      </w:r>
      <w:bookmarkStart w:id="67" w:name="_Toc29842"/>
      <w:bookmarkStart w:id="68" w:name="_Toc9722"/>
      <w:bookmarkStart w:id="69" w:name="_Toc15757"/>
      <w:r>
        <w:rPr>
          <w:rFonts w:hint="eastAsia" w:ascii="仿宋" w:hAnsi="仿宋" w:eastAsia="仿宋" w:cs="仿宋"/>
          <w:color w:val="auto"/>
          <w:sz w:val="24"/>
          <w:szCs w:val="24"/>
          <w:highlight w:val="none"/>
        </w:rPr>
        <w:t>【</w:t>
      </w:r>
      <w:r>
        <w:rPr>
          <w:rFonts w:hint="eastAsia" w:ascii="仿宋_GB2312" w:hAnsi="仿宋_GB2312" w:eastAsia="仿宋_GB2312"/>
          <w:color w:val="auto"/>
          <w:sz w:val="24"/>
          <w:szCs w:val="24"/>
          <w:highlight w:val="none"/>
        </w:rPr>
        <w:t>根据格式部分“五、施工组织设计”《附表一 拟投入本标段的主要施工设备表》、《附表二 拟配备本标段的试验和检测仪器设备表》、“六、项目管理机构”的内容填写表格，此处可不再单独提供</w:t>
      </w:r>
      <w:r>
        <w:rPr>
          <w:rFonts w:hint="eastAsia" w:ascii="仿宋" w:hAnsi="仿宋" w:eastAsia="仿宋" w:cs="仿宋"/>
          <w:color w:val="auto"/>
          <w:sz w:val="24"/>
          <w:szCs w:val="24"/>
          <w:highlight w:val="none"/>
        </w:rPr>
        <w:t>】</w:t>
      </w:r>
    </w:p>
    <w:p>
      <w:pPr>
        <w:pStyle w:val="22"/>
        <w:spacing w:after="0" w:line="360" w:lineRule="auto"/>
        <w:rPr>
          <w:rFonts w:hint="eastAsia"/>
          <w:color w:val="auto"/>
          <w:sz w:val="24"/>
          <w:szCs w:val="24"/>
          <w:highlight w:val="none"/>
        </w:rPr>
      </w:pPr>
    </w:p>
    <w:bookmarkEnd w:id="67"/>
    <w:bookmarkEnd w:id="68"/>
    <w:bookmarkEnd w:id="69"/>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1.4有依法缴纳税收和社会保障资金的良好记录；【</w:t>
      </w:r>
      <w:r>
        <w:rPr>
          <w:rFonts w:hint="eastAsia" w:ascii="仿宋_GB2312" w:hAnsi="仿宋_GB2312" w:eastAsia="仿宋_GB2312"/>
          <w:color w:val="auto"/>
          <w:sz w:val="24"/>
          <w:szCs w:val="24"/>
          <w:highlight w:val="none"/>
        </w:rPr>
        <w:t>有依法缴纳税收和社会保障资金的良好记录，投标文件中提供2020年1月1日以来至少一个月的依法纳税证明（至少提供增值税部分）和缴纳社保证明（至少提供基本养老保险部分）扫描件，</w:t>
      </w:r>
      <w:r>
        <w:rPr>
          <w:rFonts w:hint="eastAsia" w:ascii="仿宋_GB2312" w:hAnsi="仿宋_GB2312" w:eastAsia="仿宋_GB2312"/>
          <w:color w:val="auto"/>
          <w:sz w:val="24"/>
          <w:szCs w:val="24"/>
          <w:highlight w:val="none"/>
          <w:lang w:eastAsia="zh-CN"/>
        </w:rPr>
        <w:t>依法免税或不需要缴纳社会保障资金的投标人，应提供相应文件证明其依法免税或不需要缴纳社会保障金</w:t>
      </w:r>
      <w:r>
        <w:rPr>
          <w:rFonts w:hint="eastAsia" w:ascii="仿宋_GB2312" w:hAnsi="仿宋_GB2312" w:eastAsia="仿宋_GB2312"/>
          <w:color w:val="auto"/>
          <w:sz w:val="24"/>
          <w:szCs w:val="24"/>
          <w:highlight w:val="none"/>
        </w:rPr>
        <w:t>扫描件</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                           企业社保及纳税情况</w:t>
      </w: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材料名称</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r>
    </w:tbl>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注：投标人须提供满足要求的证明资料；</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投标人此部分材料建议上传至投标文件-评审资料-企业社保及纳税情况项外，还建议在投标文件中此处重新附上此部分材料扫描件。</w:t>
      </w:r>
    </w:p>
    <w:p>
      <w:pPr>
        <w:pStyle w:val="22"/>
        <w:spacing w:after="0" w:line="360" w:lineRule="auto"/>
        <w:rPr>
          <w:rFonts w:hint="eastAsia"/>
          <w:color w:val="auto"/>
          <w:sz w:val="24"/>
          <w:szCs w:val="24"/>
          <w:highlight w:val="none"/>
        </w:rPr>
      </w:pPr>
    </w:p>
    <w:p>
      <w:pPr>
        <w:snapToGrid w:val="0"/>
        <w:spacing w:line="360" w:lineRule="auto"/>
        <w:ind w:firstLine="422"/>
        <w:outlineLvl w:val="2"/>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shd w:val="clear" w:color="000000" w:fill="auto"/>
        </w:rPr>
        <w:t>资质要求</w:t>
      </w:r>
      <w:r>
        <w:rPr>
          <w:rFonts w:hint="eastAsia" w:ascii="仿宋" w:hAnsi="仿宋" w:eastAsia="仿宋" w:cs="仿宋"/>
          <w:b/>
          <w:bCs/>
          <w:color w:val="auto"/>
          <w:sz w:val="24"/>
          <w:szCs w:val="24"/>
          <w:highlight w:val="none"/>
        </w:rPr>
        <w:t>：</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2.1企业</w:t>
      </w:r>
      <w:r>
        <w:rPr>
          <w:rFonts w:hint="eastAsia" w:ascii="仿宋_GB2312" w:hAnsi="仿宋_GB2312" w:eastAsia="仿宋_GB2312" w:cs="仿宋_GB2312"/>
          <w:color w:val="auto"/>
          <w:sz w:val="24"/>
          <w:szCs w:val="24"/>
          <w:highlight w:val="none"/>
          <w:lang w:val="zh-TW" w:eastAsia="zh-TW"/>
        </w:rPr>
        <w:t>具有国家建设行政主管部门核发的</w:t>
      </w:r>
      <w:r>
        <w:rPr>
          <w:rFonts w:hint="eastAsia" w:ascii="仿宋_GB2312" w:hAnsi="仿宋_GB2312" w:eastAsia="仿宋_GB2312" w:cs="仿宋_GB2312"/>
          <w:color w:val="auto"/>
          <w:sz w:val="24"/>
          <w:szCs w:val="24"/>
          <w:highlight w:val="none"/>
          <w:lang w:val="zh-TW" w:eastAsia="zh-CN"/>
        </w:rPr>
        <w:t>电力工程施工总承包叁级及以上资质或输变电工程专业承包三级及以上资质，</w:t>
      </w:r>
      <w:r>
        <w:rPr>
          <w:rFonts w:hint="eastAsia" w:ascii="仿宋_GB2312" w:hAnsi="仿宋_GB2312" w:eastAsia="仿宋_GB2312"/>
          <w:color w:val="auto"/>
          <w:sz w:val="24"/>
          <w:szCs w:val="24"/>
          <w:highlight w:val="none"/>
          <w:lang w:eastAsia="zh-CN"/>
        </w:rPr>
        <w:t>并同时具备国家能源局颁发（或原国家电力监管委员会）的电力设施施工《承装（修、试）电力设施许可证》承装伍级、承修伍级、承试伍级及以上资质</w:t>
      </w:r>
      <w:r>
        <w:rPr>
          <w:rFonts w:hint="eastAsia" w:ascii="仿宋" w:hAnsi="仿宋" w:eastAsia="仿宋" w:cs="仿宋"/>
          <w:color w:val="auto"/>
          <w:sz w:val="24"/>
          <w:szCs w:val="24"/>
          <w:highlight w:val="none"/>
        </w:rPr>
        <w:t>，具备有效的安全生产许可证；【投标文件中提供资质</w:t>
      </w:r>
      <w:r>
        <w:rPr>
          <w:rFonts w:hint="eastAsia" w:ascii="仿宋" w:hAnsi="仿宋" w:eastAsia="仿宋" w:cs="仿宋"/>
          <w:color w:val="auto"/>
          <w:sz w:val="24"/>
          <w:szCs w:val="24"/>
          <w:highlight w:val="none"/>
          <w:lang w:eastAsia="zh-CN"/>
        </w:rPr>
        <w:t>（许可）</w:t>
      </w:r>
      <w:r>
        <w:rPr>
          <w:rFonts w:hint="eastAsia" w:ascii="仿宋" w:hAnsi="仿宋" w:eastAsia="仿宋" w:cs="仿宋"/>
          <w:color w:val="auto"/>
          <w:sz w:val="24"/>
          <w:szCs w:val="24"/>
          <w:highlight w:val="none"/>
        </w:rPr>
        <w:t>证书及企业安全生产许可证】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附表：                               企业资质信息</w:t>
      </w: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8"/>
        <w:gridCol w:w="4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76" w:type="dxa"/>
            <w:gridSpan w:val="2"/>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企业资质信息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资质等级名称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c>
          <w:tcPr>
            <w:tcW w:w="4638" w:type="dxa"/>
            <w:noWrap w:val="0"/>
            <w:vAlign w:val="top"/>
          </w:tcPr>
          <w:p>
            <w:pPr>
              <w:spacing w:line="360" w:lineRule="auto"/>
              <w:jc w:val="center"/>
              <w:rPr>
                <w:rFonts w:hint="eastAsia" w:ascii="仿宋" w:hAnsi="仿宋" w:eastAsia="仿宋" w:cs="仿宋"/>
                <w:color w:val="auto"/>
                <w:sz w:val="24"/>
                <w:szCs w:val="24"/>
                <w:highlight w:val="none"/>
              </w:rPr>
            </w:pPr>
          </w:p>
        </w:tc>
      </w:tr>
    </w:tbl>
    <w:p>
      <w:pPr>
        <w:spacing w:line="360" w:lineRule="auto"/>
        <w:ind w:firstLine="420"/>
        <w:rPr>
          <w:rFonts w:hint="eastAsia" w:ascii="仿宋" w:hAnsi="仿宋" w:eastAsia="仿宋" w:cs="仿宋"/>
          <w:color w:val="auto"/>
          <w:sz w:val="24"/>
          <w:szCs w:val="24"/>
          <w:highlight w:val="none"/>
        </w:rPr>
      </w:pPr>
    </w:p>
    <w:tbl>
      <w:tblPr>
        <w:tblStyle w:val="23"/>
        <w:tblW w:w="9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证书名称</w:t>
            </w: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c>
          <w:tcPr>
            <w:tcW w:w="3092" w:type="dxa"/>
            <w:noWrap w:val="0"/>
            <w:vAlign w:val="top"/>
          </w:tcPr>
          <w:p>
            <w:pPr>
              <w:spacing w:line="360" w:lineRule="auto"/>
              <w:jc w:val="center"/>
              <w:rPr>
                <w:rFonts w:hint="eastAsia" w:ascii="仿宋" w:hAnsi="仿宋" w:eastAsia="仿宋" w:cs="仿宋"/>
                <w:color w:val="auto"/>
                <w:sz w:val="24"/>
                <w:szCs w:val="24"/>
                <w:highlight w:val="none"/>
              </w:rPr>
            </w:pPr>
          </w:p>
        </w:tc>
      </w:tr>
    </w:tbl>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注：此部分资质证书建议上传至投标文件-评审资料-企业资质信息项外，还</w:t>
      </w:r>
      <w:r>
        <w:rPr>
          <w:rFonts w:hint="eastAsia" w:ascii="仿宋" w:hAnsi="仿宋" w:eastAsia="仿宋" w:cs="仿宋"/>
          <w:color w:val="auto"/>
          <w:sz w:val="24"/>
          <w:szCs w:val="24"/>
          <w:highlight w:val="none"/>
          <w:lang w:eastAsia="zh-CN"/>
        </w:rPr>
        <w:t>建议</w:t>
      </w:r>
      <w:r>
        <w:rPr>
          <w:rFonts w:hint="eastAsia" w:ascii="仿宋" w:hAnsi="仿宋" w:eastAsia="仿宋" w:cs="仿宋"/>
          <w:color w:val="auto"/>
          <w:sz w:val="24"/>
          <w:szCs w:val="24"/>
          <w:highlight w:val="none"/>
        </w:rPr>
        <w:t>在投标文件中此处重新附上此部分资质证书扫描件。</w:t>
      </w:r>
    </w:p>
    <w:p>
      <w:pPr>
        <w:pStyle w:val="22"/>
        <w:spacing w:after="0" w:line="360" w:lineRule="auto"/>
        <w:rPr>
          <w:rFonts w:hint="eastAsia"/>
          <w:color w:val="auto"/>
          <w:sz w:val="24"/>
          <w:szCs w:val="24"/>
          <w:highlight w:val="none"/>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2.2</w:t>
      </w:r>
      <w:r>
        <w:rPr>
          <w:rFonts w:hint="eastAsia" w:ascii="仿宋" w:hAnsi="仿宋" w:eastAsia="仿宋" w:cs="仿宋"/>
          <w:b/>
          <w:bCs/>
          <w:color w:val="auto"/>
          <w:sz w:val="24"/>
          <w:szCs w:val="24"/>
          <w:highlight w:val="none"/>
          <w:shd w:val="clear" w:color="000000" w:fill="auto"/>
        </w:rPr>
        <w:t>项目经理要求：</w:t>
      </w:r>
      <w:r>
        <w:rPr>
          <w:rFonts w:hint="eastAsia" w:ascii="仿宋_GB2312" w:hAnsi="仿宋_GB2312" w:eastAsia="仿宋_GB2312"/>
          <w:color w:val="auto"/>
          <w:sz w:val="24"/>
          <w:szCs w:val="24"/>
          <w:highlight w:val="none"/>
          <w:shd w:val="clear" w:color="000000" w:fill="auto"/>
          <w:lang w:eastAsia="zh-CN"/>
        </w:rPr>
        <w:t>投标人拟派项目经理须为本单位注册的机电工程专业二级及以上注册建造师（不含临时建造师）</w:t>
      </w:r>
      <w:r>
        <w:rPr>
          <w:rFonts w:hint="eastAsia" w:ascii="仿宋_GB2312" w:hAnsi="仿宋_GB2312" w:eastAsia="仿宋_GB2312"/>
          <w:color w:val="auto"/>
          <w:sz w:val="24"/>
          <w:szCs w:val="24"/>
          <w:highlight w:val="none"/>
          <w:shd w:val="clear" w:color="000000" w:fill="auto"/>
        </w:rPr>
        <w:t>，</w:t>
      </w:r>
      <w:r>
        <w:rPr>
          <w:rFonts w:hint="eastAsia" w:ascii="仿宋_GB2312" w:hAnsi="仿宋_GB2312" w:eastAsia="仿宋_GB2312"/>
          <w:color w:val="auto"/>
          <w:sz w:val="24"/>
          <w:szCs w:val="24"/>
          <w:highlight w:val="none"/>
          <w:shd w:val="clear" w:color="000000" w:fill="auto"/>
          <w:lang w:eastAsia="zh-CN"/>
        </w:rPr>
        <w:t>同时具备有效的安全生产考核合格证书</w:t>
      </w:r>
      <w:r>
        <w:rPr>
          <w:rFonts w:hint="eastAsia" w:ascii="仿宋_GB2312" w:hAnsi="仿宋_GB2312" w:eastAsia="仿宋_GB2312"/>
          <w:color w:val="auto"/>
          <w:sz w:val="24"/>
          <w:szCs w:val="24"/>
          <w:highlight w:val="none"/>
          <w:shd w:val="clear" w:color="000000" w:fill="auto"/>
        </w:rPr>
        <w:t>，</w:t>
      </w:r>
      <w:r>
        <w:rPr>
          <w:rFonts w:hint="eastAsia" w:ascii="仿宋_GB2312" w:hAnsi="仿宋_GB2312" w:eastAsia="仿宋_GB2312"/>
          <w:color w:val="auto"/>
          <w:sz w:val="24"/>
          <w:szCs w:val="24"/>
          <w:highlight w:val="none"/>
          <w:shd w:val="clear" w:color="000000" w:fill="auto"/>
          <w:lang w:eastAsia="zh-CN"/>
        </w:rPr>
        <w:t>且拟派项目经理自本项目合同签订之日起至本项目施工完工期间不得同时担任其他在建工程项目经理</w:t>
      </w:r>
      <w:r>
        <w:rPr>
          <w:rFonts w:hint="eastAsia" w:ascii="仿宋_GB2312" w:hAnsi="仿宋_GB2312" w:eastAsia="仿宋_GB2312"/>
          <w:color w:val="auto"/>
          <w:sz w:val="24"/>
          <w:szCs w:val="24"/>
          <w:highlight w:val="none"/>
          <w:shd w:val="clear" w:color="000000" w:fill="auto"/>
        </w:rPr>
        <w:t>。</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【投标文件中提供项目经理注册建造师证书（参加继续教育的附继续教育证明材料）、项目经理安考证，并在投标文件中按招标文件格式部分要求提供“承诺书”和“项目经理</w:t>
      </w:r>
      <w:r>
        <w:rPr>
          <w:rFonts w:hint="eastAsia" w:ascii="仿宋" w:hAnsi="仿宋" w:eastAsia="仿宋" w:cs="仿宋"/>
          <w:color w:val="auto"/>
          <w:sz w:val="24"/>
          <w:szCs w:val="24"/>
          <w:highlight w:val="none"/>
          <w:lang w:eastAsia="zh-CN"/>
        </w:rPr>
        <w:t>是否存在在建项目的声明函</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建造师注册证书和安全考核合格证书允许提供新版电子证书，项目经理参加继续教育的还应提供继续教育证明材料</w:t>
      </w:r>
      <w:r>
        <w:rPr>
          <w:rFonts w:hint="eastAsia" w:ascii="仿宋" w:hAnsi="仿宋" w:eastAsia="仿宋" w:cs="仿宋"/>
          <w:color w:val="auto"/>
          <w:sz w:val="24"/>
          <w:szCs w:val="24"/>
          <w:highlight w:val="none"/>
        </w:rPr>
        <w:t>。】</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注：项目经理</w:t>
      </w:r>
      <w:r>
        <w:rPr>
          <w:rFonts w:hint="eastAsia" w:ascii="仿宋" w:hAnsi="仿宋" w:eastAsia="仿宋" w:cs="仿宋"/>
          <w:color w:val="auto"/>
          <w:sz w:val="24"/>
          <w:szCs w:val="24"/>
          <w:highlight w:val="none"/>
          <w:lang w:eastAsia="zh-CN"/>
        </w:rPr>
        <w:t>相关</w:t>
      </w:r>
      <w:r>
        <w:rPr>
          <w:rFonts w:hint="eastAsia" w:ascii="仿宋" w:hAnsi="仿宋" w:eastAsia="仿宋" w:cs="仿宋"/>
          <w:color w:val="auto"/>
          <w:sz w:val="24"/>
          <w:szCs w:val="24"/>
          <w:highlight w:val="none"/>
        </w:rPr>
        <w:t>证书建议上传至投标文件-评审资料-项目负责人信息项外，还建议在投标文件中此处重新附上此部分证书扫描件。</w:t>
      </w:r>
    </w:p>
    <w:p>
      <w:pPr>
        <w:pStyle w:val="22"/>
        <w:rPr>
          <w:rFonts w:hint="eastAsia"/>
          <w:color w:val="auto"/>
          <w:sz w:val="24"/>
          <w:szCs w:val="24"/>
          <w:highlight w:val="none"/>
        </w:rPr>
      </w:pPr>
    </w:p>
    <w:p>
      <w:pPr>
        <w:snapToGrid w:val="0"/>
        <w:spacing w:line="360" w:lineRule="auto"/>
        <w:ind w:firstLine="422"/>
        <w:rPr>
          <w:rFonts w:ascii="仿宋" w:hAnsi="仿宋" w:eastAsia="仿宋" w:cs="仿宋"/>
          <w:b/>
          <w:bCs/>
          <w:color w:val="auto"/>
          <w:sz w:val="24"/>
          <w:szCs w:val="24"/>
          <w:highlight w:val="none"/>
          <w:shd w:val="clear" w:color="000000" w:fill="auto"/>
        </w:rPr>
      </w:pPr>
      <w:r>
        <w:rPr>
          <w:rFonts w:hint="eastAsia" w:ascii="仿宋" w:hAnsi="仿宋" w:eastAsia="仿宋" w:cs="仿宋"/>
          <w:b/>
          <w:bCs/>
          <w:color w:val="auto"/>
          <w:sz w:val="24"/>
          <w:szCs w:val="24"/>
          <w:highlight w:val="none"/>
          <w:shd w:val="clear" w:color="000000" w:fill="auto"/>
        </w:rPr>
        <w:t>2.</w:t>
      </w:r>
      <w:r>
        <w:rPr>
          <w:rFonts w:hint="eastAsia" w:ascii="仿宋" w:hAnsi="仿宋" w:eastAsia="仿宋" w:cs="仿宋"/>
          <w:b/>
          <w:bCs/>
          <w:color w:val="auto"/>
          <w:sz w:val="24"/>
          <w:szCs w:val="24"/>
          <w:highlight w:val="none"/>
          <w:shd w:val="clear" w:color="000000" w:fill="auto"/>
          <w:lang w:val="en-US" w:eastAsia="zh-CN"/>
        </w:rPr>
        <w:t>3</w:t>
      </w:r>
      <w:r>
        <w:rPr>
          <w:rFonts w:hint="eastAsia" w:ascii="仿宋" w:hAnsi="仿宋" w:eastAsia="仿宋" w:cs="仿宋"/>
          <w:b/>
          <w:bCs/>
          <w:color w:val="auto"/>
          <w:sz w:val="24"/>
          <w:szCs w:val="24"/>
          <w:highlight w:val="none"/>
          <w:shd w:val="clear" w:color="000000" w:fill="auto"/>
        </w:rPr>
        <w:t>财务要求：详见本节1.2项财务证明材料要求，前款已提供的此处无须重复提供。</w:t>
      </w:r>
    </w:p>
    <w:p>
      <w:pPr>
        <w:snapToGrid w:val="0"/>
        <w:spacing w:line="360" w:lineRule="auto"/>
        <w:ind w:firstLine="422"/>
        <w:rPr>
          <w:rFonts w:hint="eastAsia" w:ascii="仿宋" w:hAnsi="仿宋" w:eastAsia="仿宋" w:cs="仿宋"/>
          <w:b/>
          <w:bCs/>
          <w:color w:val="auto"/>
          <w:sz w:val="24"/>
          <w:szCs w:val="24"/>
          <w:highlight w:val="none"/>
          <w:shd w:val="clear" w:color="000000" w:fill="auto"/>
        </w:rPr>
      </w:pPr>
    </w:p>
    <w:p>
      <w:pPr>
        <w:snapToGrid w:val="0"/>
        <w:spacing w:line="360" w:lineRule="auto"/>
        <w:ind w:firstLine="422"/>
        <w:rPr>
          <w:rFonts w:hint="eastAsia" w:ascii="仿宋" w:hAnsi="仿宋" w:eastAsia="仿宋" w:cs="仿宋"/>
          <w:b/>
          <w:bCs/>
          <w:color w:val="auto"/>
          <w:sz w:val="24"/>
          <w:szCs w:val="24"/>
          <w:highlight w:val="none"/>
          <w:shd w:val="clear" w:color="000000" w:fill="auto"/>
        </w:rPr>
      </w:pPr>
      <w:r>
        <w:rPr>
          <w:rFonts w:hint="eastAsia" w:ascii="仿宋" w:hAnsi="仿宋" w:eastAsia="仿宋" w:cs="仿宋"/>
          <w:b/>
          <w:bCs/>
          <w:color w:val="auto"/>
          <w:sz w:val="24"/>
          <w:szCs w:val="24"/>
          <w:highlight w:val="none"/>
          <w:shd w:val="clear" w:color="000000" w:fill="auto"/>
        </w:rPr>
        <w:t>2.</w:t>
      </w:r>
      <w:r>
        <w:rPr>
          <w:rFonts w:hint="eastAsia" w:ascii="仿宋" w:hAnsi="仿宋" w:eastAsia="仿宋" w:cs="仿宋"/>
          <w:b/>
          <w:bCs/>
          <w:color w:val="auto"/>
          <w:sz w:val="24"/>
          <w:szCs w:val="24"/>
          <w:highlight w:val="none"/>
          <w:shd w:val="clear" w:color="000000" w:fill="auto"/>
          <w:lang w:val="en-US" w:eastAsia="zh-CN"/>
        </w:rPr>
        <w:t>4</w:t>
      </w:r>
      <w:r>
        <w:rPr>
          <w:rFonts w:hint="eastAsia" w:ascii="仿宋" w:hAnsi="仿宋" w:eastAsia="仿宋" w:cs="仿宋"/>
          <w:b/>
          <w:bCs/>
          <w:color w:val="auto"/>
          <w:sz w:val="24"/>
          <w:szCs w:val="24"/>
          <w:highlight w:val="none"/>
          <w:shd w:val="clear" w:color="000000" w:fill="auto"/>
        </w:rPr>
        <w:t>信誉要求：详见本节1.2项声明函要求，前款已提供的此处无须重复提供。</w:t>
      </w:r>
    </w:p>
    <w:p>
      <w:pPr>
        <w:snapToGrid w:val="0"/>
        <w:spacing w:line="360" w:lineRule="auto"/>
        <w:ind w:firstLine="422"/>
        <w:rPr>
          <w:rFonts w:hint="eastAsia" w:ascii="仿宋" w:hAnsi="仿宋" w:eastAsia="仿宋" w:cs="仿宋"/>
          <w:b/>
          <w:bCs/>
          <w:color w:val="auto"/>
          <w:sz w:val="24"/>
          <w:szCs w:val="24"/>
          <w:highlight w:val="none"/>
          <w:shd w:val="clear" w:color="000000" w:fill="auto"/>
        </w:rPr>
      </w:pPr>
    </w:p>
    <w:p>
      <w:pPr>
        <w:snapToGrid w:val="0"/>
        <w:spacing w:line="360" w:lineRule="auto"/>
        <w:ind w:firstLine="422"/>
        <w:rPr>
          <w:rFonts w:hint="eastAsia" w:ascii="仿宋" w:hAnsi="仿宋" w:eastAsia="仿宋" w:cs="仿宋"/>
          <w:b/>
          <w:bCs/>
          <w:color w:val="auto"/>
          <w:sz w:val="24"/>
          <w:szCs w:val="24"/>
          <w:highlight w:val="none"/>
          <w:shd w:val="clear" w:color="000000" w:fill="FFFFFF"/>
        </w:rPr>
      </w:pPr>
      <w:r>
        <w:rPr>
          <w:rFonts w:hint="eastAsia" w:ascii="仿宋" w:hAnsi="仿宋" w:eastAsia="仿宋" w:cs="仿宋"/>
          <w:b/>
          <w:bCs/>
          <w:color w:val="auto"/>
          <w:sz w:val="24"/>
          <w:szCs w:val="24"/>
          <w:highlight w:val="none"/>
          <w:shd w:val="clear" w:color="000000" w:fill="auto"/>
        </w:rPr>
        <w:t>2.</w:t>
      </w:r>
      <w:r>
        <w:rPr>
          <w:rFonts w:hint="eastAsia" w:ascii="仿宋" w:hAnsi="仿宋" w:eastAsia="仿宋" w:cs="仿宋"/>
          <w:b/>
          <w:bCs/>
          <w:color w:val="auto"/>
          <w:sz w:val="24"/>
          <w:szCs w:val="24"/>
          <w:highlight w:val="none"/>
          <w:shd w:val="clear" w:color="000000" w:fill="auto"/>
          <w:lang w:val="en-US" w:eastAsia="zh-CN"/>
        </w:rPr>
        <w:t>5</w:t>
      </w:r>
      <w:r>
        <w:rPr>
          <w:rFonts w:hint="eastAsia" w:ascii="仿宋" w:hAnsi="仿宋" w:eastAsia="仿宋" w:cs="仿宋"/>
          <w:b/>
          <w:bCs/>
          <w:color w:val="auto"/>
          <w:sz w:val="24"/>
          <w:szCs w:val="24"/>
          <w:highlight w:val="none"/>
          <w:shd w:val="clear" w:color="000000" w:fill="auto"/>
        </w:rPr>
        <w:t>其它要求：</w:t>
      </w: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000000" w:fill="auto"/>
        </w:rPr>
        <w:t>2.</w:t>
      </w:r>
      <w:r>
        <w:rPr>
          <w:rFonts w:hint="eastAsia" w:ascii="仿宋" w:hAnsi="仿宋" w:eastAsia="仿宋" w:cs="仿宋"/>
          <w:color w:val="auto"/>
          <w:sz w:val="24"/>
          <w:szCs w:val="24"/>
          <w:highlight w:val="none"/>
          <w:shd w:val="clear" w:color="000000" w:fill="auto"/>
          <w:lang w:val="en-US" w:eastAsia="zh-CN"/>
        </w:rPr>
        <w:t>5</w:t>
      </w:r>
      <w:r>
        <w:rPr>
          <w:rFonts w:hint="eastAsia" w:ascii="仿宋" w:hAnsi="仿宋" w:eastAsia="仿宋" w:cs="仿宋"/>
          <w:color w:val="auto"/>
          <w:sz w:val="24"/>
          <w:szCs w:val="24"/>
          <w:highlight w:val="none"/>
          <w:shd w:val="clear" w:color="000000" w:fill="auto"/>
        </w:rPr>
        <w:t xml:space="preserve">.1 </w:t>
      </w:r>
      <w:r>
        <w:rPr>
          <w:rFonts w:hint="eastAsia" w:ascii="仿宋" w:hAnsi="仿宋" w:eastAsia="仿宋" w:cs="仿宋"/>
          <w:b/>
          <w:bCs/>
          <w:color w:val="auto"/>
          <w:sz w:val="24"/>
          <w:szCs w:val="24"/>
          <w:highlight w:val="none"/>
          <w:shd w:val="clear" w:color="000000" w:fill="auto"/>
        </w:rPr>
        <w:t>委托代理人（如有）、项目经理应是本单位在职员工，在响应单位办理有劳动合同关系（提供劳动合同）、依法缴纳社会保险（提供社保证明）</w:t>
      </w:r>
      <w:r>
        <w:rPr>
          <w:rFonts w:hint="eastAsia" w:ascii="仿宋" w:hAnsi="仿宋" w:eastAsia="仿宋" w:cs="仿宋"/>
          <w:color w:val="auto"/>
          <w:sz w:val="24"/>
          <w:szCs w:val="24"/>
          <w:highlight w:val="none"/>
        </w:rPr>
        <w:t>。【投标文件中提供委托代理人（如有）、项目经理劳动合同和</w:t>
      </w:r>
      <w:r>
        <w:rPr>
          <w:rFonts w:hint="eastAsia" w:ascii="仿宋" w:hAnsi="仿宋" w:eastAsia="仿宋" w:cs="仿宋"/>
          <w:color w:val="auto"/>
          <w:sz w:val="24"/>
          <w:szCs w:val="24"/>
          <w:highlight w:val="none"/>
          <w:lang w:eastAsia="zh-CN"/>
        </w:rPr>
        <w:t>个人社保缴纳证明</w:t>
      </w:r>
      <w:r>
        <w:rPr>
          <w:rFonts w:hint="eastAsia" w:ascii="仿宋" w:hAnsi="仿宋" w:eastAsia="仿宋" w:cs="仿宋"/>
          <w:color w:val="auto"/>
          <w:sz w:val="24"/>
          <w:szCs w:val="24"/>
          <w:highlight w:val="none"/>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此部分劳动合同、社保证明材料建议在投标文件组成的【其他内容】节点中导入上传投标材料扫描件。</w:t>
      </w:r>
    </w:p>
    <w:p>
      <w:pPr>
        <w:snapToGrid w:val="0"/>
        <w:spacing w:line="360" w:lineRule="auto"/>
        <w:ind w:firstLine="422"/>
        <w:rPr>
          <w:rFonts w:hint="eastAsia" w:ascii="仿宋" w:hAnsi="仿宋" w:eastAsia="仿宋" w:cs="仿宋"/>
          <w:color w:val="auto"/>
          <w:sz w:val="24"/>
          <w:szCs w:val="24"/>
          <w:highlight w:val="none"/>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shd w:val="clear" w:color="000000" w:fill="auto"/>
        </w:rPr>
        <w:t xml:space="preserve">.2 </w:t>
      </w:r>
      <w:r>
        <w:rPr>
          <w:rFonts w:hint="eastAsia" w:ascii="仿宋_GB2312" w:hAnsi="仿宋_GB2312" w:eastAsia="仿宋_GB2312"/>
          <w:b/>
          <w:bCs/>
          <w:color w:val="auto"/>
          <w:sz w:val="24"/>
          <w:szCs w:val="24"/>
          <w:highlight w:val="none"/>
          <w:lang w:eastAsia="zh-CN"/>
        </w:rPr>
        <w:t>根据《关于在政府采购活动中查询及使用信用记录有关问题的通知》(财库[2016]125号) 和豫财购【2016】15号的规定，对列入失信被执行人和重大税收违法案件当事人名单（查询网址“信用中国”网（www.creditchina.gov.cn））、政府采购严重违法失信行为记录名单处罚期限尚未届满的（查询网址“中国政府采购”网（www.ccgp.gov.cn）的投标人，拒绝其参与本招标项目</w:t>
      </w:r>
      <w:r>
        <w:rPr>
          <w:rFonts w:hint="eastAsia" w:ascii="仿宋_GB2312" w:hAnsi="仿宋_GB2312" w:eastAsia="仿宋_GB2312"/>
          <w:color w:val="auto"/>
          <w:sz w:val="24"/>
          <w:szCs w:val="24"/>
          <w:highlight w:val="none"/>
        </w:rPr>
        <w:t>。</w:t>
      </w:r>
      <w:r>
        <w:rPr>
          <w:rFonts w:hint="eastAsia" w:ascii="仿宋" w:hAnsi="仿宋" w:eastAsia="仿宋" w:cs="仿宋"/>
          <w:color w:val="auto"/>
          <w:sz w:val="24"/>
          <w:szCs w:val="24"/>
          <w:highlight w:val="none"/>
        </w:rPr>
        <w:t>【查询“信用中国”网（www.creditchina.gov.cn）</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eastAsia="zh-CN"/>
        </w:rPr>
        <w:t>被列入</w:t>
      </w:r>
      <w:r>
        <w:rPr>
          <w:rFonts w:hint="eastAsia" w:ascii="仿宋" w:hAnsi="仿宋" w:eastAsia="仿宋" w:cs="仿宋"/>
          <w:color w:val="auto"/>
          <w:sz w:val="24"/>
          <w:szCs w:val="24"/>
          <w:highlight w:val="none"/>
        </w:rPr>
        <w:t>“失信被执行人”和“重大税收违法案件当事人名单”；查询“中国政府采购”网（www.ccgp.gov.cn）</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是否</w:t>
      </w:r>
      <w:r>
        <w:rPr>
          <w:rFonts w:hint="eastAsia" w:ascii="仿宋" w:hAnsi="仿宋" w:eastAsia="仿宋" w:cs="仿宋"/>
          <w:color w:val="auto"/>
          <w:sz w:val="24"/>
          <w:szCs w:val="24"/>
          <w:highlight w:val="none"/>
          <w:lang w:eastAsia="zh-CN"/>
        </w:rPr>
        <w:t>被列入</w:t>
      </w:r>
      <w:r>
        <w:rPr>
          <w:rFonts w:hint="eastAsia" w:ascii="仿宋" w:hAnsi="仿宋" w:eastAsia="仿宋" w:cs="仿宋"/>
          <w:color w:val="auto"/>
          <w:sz w:val="24"/>
          <w:szCs w:val="24"/>
          <w:highlight w:val="none"/>
        </w:rPr>
        <w:t>“政府采购严重违法失信行为记录名单</w:t>
      </w:r>
      <w:r>
        <w:rPr>
          <w:rFonts w:hint="eastAsia" w:ascii="仿宋_GB2312" w:hAnsi="仿宋_GB2312" w:eastAsia="仿宋_GB2312"/>
          <w:color w:val="auto"/>
          <w:sz w:val="24"/>
          <w:szCs w:val="24"/>
          <w:highlight w:val="none"/>
          <w:lang w:eastAsia="zh-CN"/>
        </w:rPr>
        <w:t>处罚期限尚未届满的</w:t>
      </w:r>
      <w:r>
        <w:rPr>
          <w:rFonts w:hint="eastAsia" w:ascii="仿宋" w:hAnsi="仿宋" w:eastAsia="仿宋" w:cs="仿宋"/>
          <w:color w:val="auto"/>
          <w:sz w:val="24"/>
          <w:szCs w:val="24"/>
          <w:highlight w:val="none"/>
        </w:rPr>
        <w:t>”；投标供应商自行查询的证明材料将不作为资格审查评审依据，以开标现场招标代理机构经办人查询网页截图作为查询记录和证据】</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注：本条投标人可以不自行提供证明资料。</w:t>
      </w:r>
    </w:p>
    <w:p>
      <w:pPr>
        <w:pStyle w:val="22"/>
        <w:spacing w:after="0" w:line="360" w:lineRule="auto"/>
        <w:rPr>
          <w:rFonts w:hint="eastAsia"/>
          <w:color w:val="auto"/>
          <w:sz w:val="24"/>
          <w:szCs w:val="24"/>
          <w:highlight w:val="none"/>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2.6.3单位负责人为同一人或者存在控股、管理关系的不同单位，不得同时参加本项目同一标段的投标或未划分多个标段的同一项目的投标；为本项目前期准备提供设计或咨询服务的不得参加本招标项目投标</w:t>
      </w:r>
      <w:r>
        <w:rPr>
          <w:rFonts w:hint="eastAsia" w:ascii="仿宋" w:hAnsi="仿宋" w:eastAsia="仿宋" w:cs="仿宋"/>
          <w:color w:val="auto"/>
          <w:sz w:val="24"/>
          <w:szCs w:val="24"/>
          <w:highlight w:val="none"/>
        </w:rPr>
        <w:t>。【投标文件中提声明函（格式自理）</w:t>
      </w:r>
      <w:r>
        <w:rPr>
          <w:rFonts w:hint="eastAsia" w:ascii="仿宋" w:hAnsi="仿宋" w:eastAsia="仿宋" w:cs="仿宋"/>
          <w:color w:val="auto"/>
          <w:sz w:val="24"/>
          <w:szCs w:val="24"/>
          <w:highlight w:val="none"/>
          <w:lang w:eastAsia="zh-CN"/>
        </w:rPr>
        <w:t>和</w:t>
      </w:r>
      <w:r>
        <w:rPr>
          <w:rFonts w:hint="eastAsia" w:ascii="仿宋" w:hAnsi="仿宋" w:eastAsia="仿宋" w:cs="仿宋"/>
          <w:color w:val="auto"/>
          <w:sz w:val="24"/>
          <w:szCs w:val="24"/>
          <w:highlight w:val="none"/>
          <w:lang w:val="en-US" w:eastAsia="zh-CN"/>
        </w:rPr>
        <w:t>“全国企业信用信息公示系统”中查询打印的相关材料并加盖公章（需包含公司基本信息、股东信息及股权变更信息）</w:t>
      </w:r>
      <w:r>
        <w:rPr>
          <w:rFonts w:hint="eastAsia" w:ascii="仿宋" w:hAnsi="仿宋" w:eastAsia="仿宋" w:cs="仿宋"/>
          <w:color w:val="auto"/>
          <w:sz w:val="24"/>
          <w:szCs w:val="24"/>
          <w:highlight w:val="none"/>
        </w:rPr>
        <w:t>】</w:t>
      </w:r>
    </w:p>
    <w:p>
      <w:pPr>
        <w:snapToGrid w:val="0"/>
        <w:spacing w:line="360" w:lineRule="auto"/>
        <w:ind w:firstLine="422"/>
        <w:rPr>
          <w:rFonts w:hint="eastAsia"/>
          <w:color w:val="auto"/>
          <w:sz w:val="24"/>
          <w:szCs w:val="24"/>
          <w:highlight w:val="none"/>
        </w:rPr>
      </w:pPr>
      <w:r>
        <w:rPr>
          <w:rFonts w:hint="eastAsia" w:ascii="仿宋" w:hAnsi="仿宋" w:eastAsia="仿宋" w:cs="仿宋"/>
          <w:color w:val="auto"/>
          <w:sz w:val="24"/>
          <w:szCs w:val="24"/>
          <w:highlight w:val="none"/>
        </w:rPr>
        <w:t>注：投标人提供满足要求的证明资料。</w:t>
      </w:r>
    </w:p>
    <w:p>
      <w:pPr>
        <w:tabs>
          <w:tab w:val="left" w:pos="2445"/>
        </w:tabs>
        <w:snapToGrid w:val="0"/>
        <w:spacing w:line="360" w:lineRule="auto"/>
        <w:ind w:firstLine="420"/>
        <w:outlineLvl w:val="2"/>
        <w:rPr>
          <w:rFonts w:hint="eastAsia" w:ascii="仿宋_GB2312" w:hAnsi="仿宋_GB2312" w:eastAsia="仿宋_GB2312"/>
          <w:color w:val="auto"/>
          <w:sz w:val="24"/>
          <w:szCs w:val="24"/>
          <w:highlight w:val="none"/>
        </w:rPr>
      </w:pPr>
      <w:r>
        <w:rPr>
          <w:rFonts w:hint="eastAsia" w:ascii="仿宋_GB2312" w:hAnsi="仿宋_GB2312" w:eastAsia="仿宋_GB2312"/>
          <w:b/>
          <w:bCs/>
          <w:color w:val="auto"/>
          <w:sz w:val="24"/>
          <w:szCs w:val="24"/>
          <w:highlight w:val="none"/>
        </w:rPr>
        <w:t>3、其他要求</w:t>
      </w:r>
      <w:r>
        <w:rPr>
          <w:rFonts w:hint="eastAsia" w:ascii="仿宋_GB2312" w:hAnsi="仿宋_GB2312" w:eastAsia="仿宋_GB2312"/>
          <w:color w:val="auto"/>
          <w:sz w:val="24"/>
          <w:szCs w:val="24"/>
          <w:highlight w:val="none"/>
        </w:rPr>
        <w:t>：</w:t>
      </w:r>
    </w:p>
    <w:p>
      <w:pPr>
        <w:tabs>
          <w:tab w:val="left" w:pos="2445"/>
        </w:tabs>
        <w:snapToGrid w:val="0"/>
        <w:spacing w:line="360" w:lineRule="auto"/>
        <w:ind w:firstLine="420"/>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rPr>
        <w:t>3.1、投标人参与本项目投标时是否存在投标须知1.4.3项情形的声明函；（格式自拟）</w:t>
      </w:r>
    </w:p>
    <w:p>
      <w:pPr>
        <w:tabs>
          <w:tab w:val="left" w:pos="2445"/>
        </w:tabs>
        <w:snapToGrid w:val="0"/>
        <w:spacing w:line="360" w:lineRule="auto"/>
        <w:ind w:firstLine="420"/>
        <w:rPr>
          <w:rFonts w:hint="eastAsia" w:ascii="仿宋_GB2312" w:hAnsi="仿宋_GB2312" w:eastAsia="仿宋_GB2312"/>
          <w:color w:val="auto"/>
          <w:sz w:val="24"/>
          <w:szCs w:val="24"/>
          <w:highlight w:val="none"/>
        </w:rPr>
      </w:pPr>
      <w:r>
        <w:rPr>
          <w:rFonts w:hint="eastAsia" w:ascii="仿宋_GB2312" w:hAnsi="仿宋_GB2312" w:eastAsia="仿宋_GB2312"/>
          <w:color w:val="auto"/>
          <w:sz w:val="24"/>
          <w:szCs w:val="24"/>
          <w:highlight w:val="none"/>
          <w:lang w:val="en-US" w:eastAsia="zh-CN"/>
        </w:rPr>
        <w:t xml:space="preserve">3.2、完全响应招标文件第七章 </w:t>
      </w:r>
      <w:r>
        <w:rPr>
          <w:rFonts w:hint="eastAsia" w:ascii="仿宋_GB2312" w:hAnsi="仿宋_GB2312" w:eastAsia="仿宋_GB2312"/>
          <w:color w:val="auto"/>
          <w:highlight w:val="none"/>
        </w:rPr>
        <w:t>技术标准和要求</w:t>
      </w:r>
      <w:r>
        <w:rPr>
          <w:rFonts w:hint="eastAsia" w:ascii="仿宋_GB2312" w:hAnsi="仿宋_GB2312" w:eastAsia="仿宋_GB2312"/>
          <w:color w:val="auto"/>
          <w:highlight w:val="none"/>
          <w:lang w:val="en-US" w:eastAsia="zh-CN"/>
        </w:rPr>
        <w:t xml:space="preserve"> </w:t>
      </w:r>
      <w:r>
        <w:rPr>
          <w:rFonts w:hint="eastAsia" w:ascii="仿宋_GB2312" w:hAnsi="仿宋_GB2312" w:eastAsia="仿宋_GB2312"/>
          <w:color w:val="auto"/>
          <w:highlight w:val="none"/>
          <w:lang w:eastAsia="zh-CN"/>
        </w:rPr>
        <w:t>的声明函；</w:t>
      </w:r>
      <w:r>
        <w:rPr>
          <w:rFonts w:hint="eastAsia" w:ascii="仿宋_GB2312" w:hAnsi="仿宋_GB2312" w:eastAsia="仿宋_GB2312"/>
          <w:color w:val="auto"/>
          <w:sz w:val="24"/>
          <w:szCs w:val="24"/>
          <w:highlight w:val="none"/>
        </w:rPr>
        <w:t>（格式自拟）</w:t>
      </w:r>
    </w:p>
    <w:p>
      <w:pPr>
        <w:tabs>
          <w:tab w:val="left" w:pos="2445"/>
        </w:tabs>
        <w:snapToGrid w:val="0"/>
        <w:spacing w:line="360" w:lineRule="auto"/>
        <w:ind w:firstLine="420"/>
        <w:rPr>
          <w:rFonts w:hint="default" w:eastAsia="仿宋_GB2312"/>
          <w:color w:val="auto"/>
          <w:highlight w:val="none"/>
          <w:lang w:val="en-US" w:eastAsia="zh-CN"/>
        </w:rPr>
      </w:pPr>
    </w:p>
    <w:p>
      <w:pPr>
        <w:snapToGrid w:val="0"/>
        <w:spacing w:line="360" w:lineRule="auto"/>
        <w:ind w:firstLine="42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注：投标人提供满足要求的证明资料。</w:t>
      </w:r>
    </w:p>
    <w:p>
      <w:pPr>
        <w:tabs>
          <w:tab w:val="left" w:pos="2445"/>
        </w:tabs>
        <w:snapToGrid w:val="0"/>
        <w:spacing w:line="360" w:lineRule="auto"/>
        <w:jc w:val="center"/>
        <w:outlineLvl w:val="9"/>
        <w:rPr>
          <w:rFonts w:hint="eastAsia" w:ascii="仿宋_GB2312" w:hAnsi="仿宋_GB2312" w:eastAsia="仿宋_GB2312"/>
          <w:color w:val="auto"/>
          <w:highlight w:val="none"/>
        </w:rPr>
      </w:pPr>
    </w:p>
    <w:p>
      <w:pPr>
        <w:tabs>
          <w:tab w:val="left" w:pos="2445"/>
        </w:tabs>
        <w:snapToGrid w:val="0"/>
        <w:spacing w:line="360" w:lineRule="auto"/>
        <w:jc w:val="center"/>
        <w:outlineLvl w:val="9"/>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pStyle w:val="2"/>
        <w:ind w:left="480" w:firstLine="480"/>
        <w:rPr>
          <w:rFonts w:hint="eastAsia" w:ascii="仿宋_GB2312" w:hAnsi="仿宋_GB2312" w:eastAsia="仿宋_GB2312"/>
          <w:color w:val="auto"/>
          <w:highlight w:val="none"/>
        </w:rPr>
      </w:pPr>
    </w:p>
    <w:p>
      <w:pPr>
        <w:tabs>
          <w:tab w:val="left" w:pos="2445"/>
        </w:tabs>
        <w:snapToGrid w:val="0"/>
        <w:spacing w:line="360" w:lineRule="auto"/>
        <w:jc w:val="center"/>
        <w:outlineLvl w:val="9"/>
        <w:rPr>
          <w:rFonts w:hint="eastAsia" w:ascii="仿宋_GB2312" w:hAnsi="仿宋_GB2312" w:eastAsia="仿宋_GB2312"/>
          <w:color w:val="auto"/>
          <w:highlight w:val="none"/>
        </w:rPr>
      </w:pPr>
    </w:p>
    <w:p>
      <w:pPr>
        <w:tabs>
          <w:tab w:val="left" w:pos="2445"/>
        </w:tabs>
        <w:snapToGrid w:val="0"/>
        <w:spacing w:line="360" w:lineRule="auto"/>
        <w:jc w:val="center"/>
        <w:outlineLvl w:val="1"/>
        <w:rPr>
          <w:rFonts w:hint="eastAsia" w:ascii="仿宋_GB2312" w:hAnsi="仿宋_GB2312" w:eastAsia="仿宋_GB2312"/>
          <w:color w:val="auto"/>
          <w:highlight w:val="none"/>
        </w:rPr>
      </w:pPr>
      <w:bookmarkStart w:id="70" w:name="_Toc6146"/>
      <w:r>
        <w:rPr>
          <w:rFonts w:hint="eastAsia" w:ascii="仿宋_GB2312" w:hAnsi="仿宋_GB2312" w:eastAsia="仿宋_GB2312"/>
          <w:color w:val="auto"/>
          <w:highlight w:val="none"/>
        </w:rPr>
        <w:t>八、近年类似工程项目业绩</w:t>
      </w:r>
      <w:bookmarkEnd w:id="70"/>
    </w:p>
    <w:p>
      <w:pPr>
        <w:snapToGrid w:val="0"/>
        <w:spacing w:line="360" w:lineRule="auto"/>
        <w:outlineLvl w:val="2"/>
        <w:rPr>
          <w:rFonts w:hint="eastAsia" w:ascii="仿宋_GB2312" w:hAnsi="仿宋_GB2312" w:eastAsia="仿宋_GB2312"/>
          <w:color w:val="auto"/>
          <w:highlight w:val="none"/>
        </w:rPr>
      </w:pPr>
      <w:r>
        <w:rPr>
          <w:rFonts w:hint="eastAsia" w:ascii="仿宋_GB2312" w:hAnsi="仿宋_GB2312" w:eastAsia="仿宋_GB2312"/>
          <w:color w:val="auto"/>
          <w:highlight w:val="none"/>
        </w:rPr>
        <w:t>（一）已完成的类似项目情况表（1……n）</w:t>
      </w:r>
    </w:p>
    <w:tbl>
      <w:tblPr>
        <w:tblStyle w:val="2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1855"/>
        <w:gridCol w:w="1855"/>
        <w:gridCol w:w="1855"/>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76" w:type="dxa"/>
            <w:gridSpan w:val="5"/>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企业业绩信息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5"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855"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工程名称</w:t>
            </w:r>
          </w:p>
        </w:tc>
        <w:tc>
          <w:tcPr>
            <w:tcW w:w="1855"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建设单位</w:t>
            </w:r>
          </w:p>
        </w:tc>
        <w:tc>
          <w:tcPr>
            <w:tcW w:w="1855"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合同签订时间</w:t>
            </w:r>
          </w:p>
        </w:tc>
        <w:tc>
          <w:tcPr>
            <w:tcW w:w="1856"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855" w:type="dxa"/>
            <w:noWrap w:val="0"/>
            <w:vAlign w:val="top"/>
          </w:tcPr>
          <w:p>
            <w:pPr>
              <w:spacing w:line="360" w:lineRule="auto"/>
              <w:jc w:val="center"/>
              <w:rPr>
                <w:rFonts w:hint="eastAsia" w:ascii="仿宋" w:hAnsi="仿宋" w:eastAsia="仿宋" w:cs="仿宋"/>
                <w:color w:val="auto"/>
                <w:szCs w:val="21"/>
                <w:highlight w:val="none"/>
              </w:rPr>
            </w:pPr>
          </w:p>
        </w:tc>
        <w:tc>
          <w:tcPr>
            <w:tcW w:w="1855" w:type="dxa"/>
            <w:noWrap w:val="0"/>
            <w:vAlign w:val="top"/>
          </w:tcPr>
          <w:p>
            <w:pPr>
              <w:spacing w:line="360" w:lineRule="auto"/>
              <w:jc w:val="center"/>
              <w:rPr>
                <w:rFonts w:hint="eastAsia" w:ascii="仿宋" w:hAnsi="仿宋" w:eastAsia="仿宋" w:cs="仿宋"/>
                <w:color w:val="auto"/>
                <w:szCs w:val="21"/>
                <w:highlight w:val="none"/>
              </w:rPr>
            </w:pPr>
          </w:p>
        </w:tc>
        <w:tc>
          <w:tcPr>
            <w:tcW w:w="1855" w:type="dxa"/>
            <w:noWrap w:val="0"/>
            <w:vAlign w:val="top"/>
          </w:tcPr>
          <w:p>
            <w:pPr>
              <w:spacing w:line="360" w:lineRule="auto"/>
              <w:jc w:val="center"/>
              <w:rPr>
                <w:rFonts w:hint="eastAsia" w:ascii="仿宋" w:hAnsi="仿宋" w:eastAsia="仿宋" w:cs="仿宋"/>
                <w:color w:val="auto"/>
                <w:szCs w:val="21"/>
                <w:highlight w:val="none"/>
              </w:rPr>
            </w:pPr>
          </w:p>
        </w:tc>
        <w:tc>
          <w:tcPr>
            <w:tcW w:w="1855" w:type="dxa"/>
            <w:noWrap w:val="0"/>
            <w:vAlign w:val="top"/>
          </w:tcPr>
          <w:p>
            <w:pPr>
              <w:spacing w:line="360" w:lineRule="auto"/>
              <w:jc w:val="center"/>
              <w:rPr>
                <w:rFonts w:hint="eastAsia" w:ascii="仿宋" w:hAnsi="仿宋" w:eastAsia="仿宋" w:cs="仿宋"/>
                <w:color w:val="auto"/>
                <w:szCs w:val="21"/>
                <w:highlight w:val="none"/>
              </w:rPr>
            </w:pPr>
          </w:p>
        </w:tc>
        <w:tc>
          <w:tcPr>
            <w:tcW w:w="1856" w:type="dxa"/>
            <w:noWrap w:val="0"/>
            <w:vAlign w:val="top"/>
          </w:tcPr>
          <w:p>
            <w:pPr>
              <w:spacing w:line="360" w:lineRule="auto"/>
              <w:jc w:val="center"/>
              <w:rPr>
                <w:rFonts w:hint="eastAsia" w:ascii="仿宋" w:hAnsi="仿宋" w:eastAsia="仿宋" w:cs="仿宋"/>
                <w:color w:val="auto"/>
                <w:szCs w:val="21"/>
                <w:highlight w:val="none"/>
              </w:rPr>
            </w:pPr>
          </w:p>
        </w:tc>
      </w:tr>
    </w:tbl>
    <w:p>
      <w:pPr>
        <w:snapToGrid w:val="0"/>
        <w:spacing w:line="360" w:lineRule="auto"/>
        <w:ind w:left="420" w:hanging="420"/>
        <w:rPr>
          <w:rFonts w:hint="eastAsia" w:ascii="仿宋_GB2312" w:hAnsi="仿宋_GB2312" w:eastAsia="仿宋_GB2312"/>
          <w:color w:val="auto"/>
          <w:highlight w:val="none"/>
        </w:rPr>
      </w:pPr>
    </w:p>
    <w:p>
      <w:pPr>
        <w:spacing w:line="360" w:lineRule="auto"/>
        <w:ind w:firstLine="240" w:firstLineChars="1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项目扫描件</w:t>
      </w:r>
    </w:p>
    <w:tbl>
      <w:tblPr>
        <w:tblStyle w:val="23"/>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2"/>
        <w:gridCol w:w="309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证书名称</w:t>
            </w:r>
          </w:p>
        </w:tc>
        <w:tc>
          <w:tcPr>
            <w:tcW w:w="3092" w:type="dxa"/>
            <w:noWrap w:val="0"/>
            <w:vAlign w:val="top"/>
          </w:tcPr>
          <w:p>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c>
          <w:tcPr>
            <w:tcW w:w="3092" w:type="dxa"/>
            <w:noWrap w:val="0"/>
            <w:vAlign w:val="top"/>
          </w:tcPr>
          <w:p>
            <w:pPr>
              <w:spacing w:line="360" w:lineRule="auto"/>
              <w:jc w:val="center"/>
              <w:rPr>
                <w:rFonts w:hint="eastAsia" w:ascii="仿宋" w:hAnsi="仿宋" w:eastAsia="仿宋" w:cs="仿宋"/>
                <w:color w:val="auto"/>
                <w:szCs w:val="21"/>
                <w:highlight w:val="none"/>
              </w:rPr>
            </w:pPr>
          </w:p>
        </w:tc>
      </w:tr>
    </w:tbl>
    <w:p>
      <w:pPr>
        <w:pStyle w:val="22"/>
        <w:rPr>
          <w:rFonts w:hint="eastAsia"/>
          <w:color w:val="auto"/>
          <w:highlight w:val="none"/>
        </w:rPr>
      </w:pPr>
    </w:p>
    <w:p>
      <w:pPr>
        <w:tabs>
          <w:tab w:val="left" w:pos="3560"/>
        </w:tabs>
        <w:snapToGrid w:val="0"/>
        <w:spacing w:line="36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注：</w:t>
      </w:r>
      <w:r>
        <w:rPr>
          <w:rFonts w:hint="eastAsia" w:ascii="仿宋" w:hAnsi="仿宋" w:eastAsia="仿宋" w:cs="仿宋"/>
          <w:color w:val="auto"/>
          <w:szCs w:val="21"/>
          <w:highlight w:val="none"/>
        </w:rPr>
        <w:t>此部分资料建议上传至投标文件-评审资料-企业业绩信息项外，还</w:t>
      </w:r>
      <w:r>
        <w:rPr>
          <w:rFonts w:hint="eastAsia" w:ascii="仿宋" w:hAnsi="仿宋" w:eastAsia="仿宋" w:cs="仿宋"/>
          <w:color w:val="auto"/>
          <w:szCs w:val="21"/>
          <w:highlight w:val="none"/>
          <w:lang w:eastAsia="zh-CN"/>
        </w:rPr>
        <w:t>建议</w:t>
      </w:r>
      <w:r>
        <w:rPr>
          <w:rFonts w:hint="eastAsia" w:ascii="仿宋" w:hAnsi="仿宋" w:eastAsia="仿宋" w:cs="仿宋"/>
          <w:color w:val="auto"/>
          <w:szCs w:val="21"/>
          <w:highlight w:val="none"/>
        </w:rPr>
        <w:t>在投标文件中此处重新附上此部分材料扫描件。</w:t>
      </w:r>
      <w:r>
        <w:rPr>
          <w:rFonts w:hint="eastAsia" w:ascii="仿宋" w:hAnsi="仿宋" w:eastAsia="仿宋" w:cs="仿宋"/>
          <w:b/>
          <w:bCs/>
          <w:color w:val="auto"/>
          <w:highlight w:val="none"/>
        </w:rPr>
        <w:t>业绩材料至少包含</w:t>
      </w:r>
      <w:r>
        <w:rPr>
          <w:rFonts w:hint="eastAsia" w:ascii="仿宋_GB2312" w:hAnsi="仿宋_GB2312" w:eastAsia="仿宋_GB2312"/>
          <w:b/>
          <w:bCs/>
          <w:color w:val="auto"/>
          <w:highlight w:val="none"/>
          <w:shd w:val="clear" w:color="000000" w:fill="auto"/>
        </w:rPr>
        <w:t>中标通知书、网上中标公示（截图）、施工合同和竣工验收报告</w:t>
      </w:r>
      <w:r>
        <w:rPr>
          <w:rFonts w:hint="eastAsia" w:ascii="仿宋" w:hAnsi="仿宋" w:eastAsia="仿宋" w:cs="仿宋"/>
          <w:b/>
          <w:bCs/>
          <w:color w:val="auto"/>
          <w:highlight w:val="none"/>
        </w:rPr>
        <w:t>的扫描件</w:t>
      </w:r>
      <w:r>
        <w:rPr>
          <w:rFonts w:hint="eastAsia" w:ascii="仿宋" w:hAnsi="仿宋" w:eastAsia="仿宋" w:cs="仿宋"/>
          <w:color w:val="auto"/>
          <w:szCs w:val="21"/>
          <w:highlight w:val="none"/>
        </w:rPr>
        <w:t>。</w:t>
      </w:r>
    </w:p>
    <w:p>
      <w:pPr>
        <w:snapToGrid w:val="0"/>
        <w:spacing w:line="360" w:lineRule="auto"/>
        <w:jc w:val="center"/>
        <w:rPr>
          <w:rFonts w:hint="eastAsia" w:ascii="仿宋_GB2312" w:hAnsi="仿宋_GB2312" w:eastAsia="仿宋_GB2312"/>
          <w:color w:val="auto"/>
          <w:highlight w:val="none"/>
        </w:rPr>
      </w:pPr>
      <w:r>
        <w:rPr>
          <w:color w:val="auto"/>
          <w:highlight w:val="none"/>
        </w:rPr>
        <w:br w:type="page"/>
      </w:r>
    </w:p>
    <w:p>
      <w:pPr>
        <w:snapToGrid w:val="0"/>
        <w:spacing w:line="360" w:lineRule="auto"/>
        <w:jc w:val="center"/>
        <w:outlineLvl w:val="1"/>
        <w:rPr>
          <w:rFonts w:hint="eastAsia" w:ascii="仿宋_GB2312" w:hAnsi="仿宋_GB2312" w:eastAsia="仿宋_GB2312"/>
          <w:color w:val="auto"/>
          <w:highlight w:val="none"/>
        </w:rPr>
      </w:pPr>
      <w:bookmarkStart w:id="71" w:name="_Toc26825"/>
      <w:r>
        <w:rPr>
          <w:rFonts w:hint="eastAsia" w:ascii="仿宋_GB2312" w:hAnsi="仿宋_GB2312" w:eastAsia="仿宋_GB2312"/>
          <w:color w:val="auto"/>
          <w:highlight w:val="none"/>
        </w:rPr>
        <w:t>九、反商业贿赂承诺书</w:t>
      </w:r>
      <w:bookmarkEnd w:id="71"/>
    </w:p>
    <w:p>
      <w:pPr>
        <w:snapToGrid w:val="0"/>
        <w:spacing w:line="360" w:lineRule="auto"/>
        <w:jc w:val="center"/>
        <w:rPr>
          <w:rFonts w:hint="eastAsia" w:ascii="仿宋_GB2312" w:hAnsi="仿宋_GB2312" w:eastAsia="仿宋_GB2312"/>
          <w:color w:val="auto"/>
          <w:highlight w:val="none"/>
        </w:rPr>
      </w:pPr>
    </w:p>
    <w:p>
      <w:pPr>
        <w:snapToGrid w:val="0"/>
        <w:spacing w:line="360" w:lineRule="auto"/>
        <w:jc w:val="center"/>
        <w:rPr>
          <w:rFonts w:hint="eastAsia" w:ascii="仿宋_GB2312" w:hAnsi="仿宋_GB2312" w:eastAsia="仿宋_GB2312"/>
          <w:color w:val="auto"/>
          <w:highlight w:val="none"/>
        </w:rPr>
      </w:pPr>
    </w:p>
    <w:p>
      <w:pPr>
        <w:snapToGrid w:val="0"/>
        <w:spacing w:line="48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我公司承诺：</w:t>
      </w:r>
    </w:p>
    <w:p>
      <w:pPr>
        <w:snapToGrid w:val="0"/>
        <w:spacing w:line="480" w:lineRule="auto"/>
        <w:ind w:firstLine="555"/>
        <w:rPr>
          <w:rFonts w:hint="eastAsia" w:ascii="仿宋_GB2312" w:hAnsi="仿宋_GB2312" w:eastAsia="仿宋_GB2312"/>
          <w:color w:val="auto"/>
          <w:highlight w:val="none"/>
        </w:rPr>
      </w:pPr>
      <w:r>
        <w:rPr>
          <w:rFonts w:hint="eastAsia" w:ascii="仿宋_GB2312" w:hAnsi="仿宋_GB2312" w:eastAsia="仿宋_GB2312"/>
          <w:color w:val="auto"/>
          <w:highlight w:val="none"/>
        </w:rPr>
        <w:t>在</w:t>
      </w:r>
      <w:r>
        <w:rPr>
          <w:rFonts w:hint="eastAsia" w:ascii="仿宋_GB2312" w:hAnsi="仿宋_GB2312" w:eastAsia="仿宋_GB2312"/>
          <w:color w:val="auto"/>
          <w:highlight w:val="none"/>
          <w:u w:val="single"/>
        </w:rPr>
        <w:t xml:space="preserve">   （项目名称）   </w:t>
      </w:r>
      <w:r>
        <w:rPr>
          <w:rFonts w:hint="eastAsia" w:ascii="仿宋_GB2312" w:hAnsi="仿宋_GB2312" w:eastAsia="仿宋_GB2312"/>
          <w:color w:val="auto"/>
          <w:highlight w:val="none"/>
        </w:rPr>
        <w:t>招标活动中，我公司保证做到：</w:t>
      </w:r>
    </w:p>
    <w:p>
      <w:pPr>
        <w:snapToGrid w:val="0"/>
        <w:spacing w:line="480" w:lineRule="auto"/>
        <w:ind w:firstLine="555"/>
        <w:rPr>
          <w:rFonts w:hint="eastAsia" w:ascii="仿宋_GB2312" w:hAnsi="仿宋_GB2312" w:eastAsia="仿宋_GB2312"/>
          <w:color w:val="auto"/>
          <w:highlight w:val="none"/>
        </w:rPr>
      </w:pPr>
      <w:r>
        <w:rPr>
          <w:rFonts w:hint="eastAsia" w:ascii="仿宋_GB2312" w:hAnsi="仿宋_GB2312" w:eastAsia="仿宋_GB2312"/>
          <w:color w:val="auto"/>
          <w:highlight w:val="none"/>
        </w:rPr>
        <w:t>一、公平竞争参加本次招标活动。</w:t>
      </w:r>
    </w:p>
    <w:p>
      <w:pPr>
        <w:snapToGrid w:val="0"/>
        <w:spacing w:line="480" w:lineRule="auto"/>
        <w:ind w:firstLine="555"/>
        <w:rPr>
          <w:rFonts w:hint="eastAsia" w:ascii="仿宋_GB2312" w:hAnsi="仿宋_GB2312" w:eastAsia="仿宋_GB2312"/>
          <w:color w:val="auto"/>
          <w:highlight w:val="none"/>
        </w:rPr>
      </w:pPr>
      <w:r>
        <w:rPr>
          <w:rFonts w:hint="eastAsia" w:ascii="仿宋_GB2312" w:hAnsi="仿宋_GB2312" w:eastAsia="仿宋_GB2312"/>
          <w:color w:val="auto"/>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pPr>
        <w:snapToGrid w:val="0"/>
        <w:spacing w:line="480" w:lineRule="auto"/>
        <w:ind w:firstLine="555"/>
        <w:rPr>
          <w:rFonts w:hint="eastAsia" w:ascii="仿宋_GB2312" w:hAnsi="仿宋_GB2312" w:eastAsia="仿宋_GB2312"/>
          <w:color w:val="auto"/>
          <w:highlight w:val="none"/>
        </w:rPr>
      </w:pPr>
      <w:r>
        <w:rPr>
          <w:rFonts w:hint="eastAsia" w:ascii="仿宋_GB2312" w:hAnsi="仿宋_GB2312" w:eastAsia="仿宋_GB2312"/>
          <w:color w:val="auto"/>
          <w:highlight w:val="none"/>
        </w:rPr>
        <w:t>三、若出现上述行为，我公司及参与投标的工作人员愿意接受按照国家法律法规等有关规定给予的处罚。</w:t>
      </w:r>
    </w:p>
    <w:p>
      <w:pPr>
        <w:snapToGrid w:val="0"/>
        <w:spacing w:line="480" w:lineRule="auto"/>
        <w:ind w:firstLine="555"/>
        <w:rPr>
          <w:rFonts w:hint="eastAsia" w:ascii="仿宋_GB2312" w:hAnsi="仿宋_GB2312" w:eastAsia="仿宋_GB2312"/>
          <w:color w:val="auto"/>
          <w:highlight w:val="none"/>
        </w:rPr>
      </w:pPr>
    </w:p>
    <w:p>
      <w:pPr>
        <w:snapToGrid w:val="0"/>
        <w:spacing w:line="480" w:lineRule="auto"/>
        <w:ind w:firstLine="555"/>
        <w:rPr>
          <w:rFonts w:hint="eastAsia" w:ascii="仿宋_GB2312" w:hAnsi="仿宋_GB2312" w:eastAsia="仿宋_GB2312"/>
          <w:color w:val="auto"/>
          <w:highlight w:val="none"/>
        </w:rPr>
      </w:pPr>
    </w:p>
    <w:p>
      <w:pPr>
        <w:snapToGrid w:val="0"/>
        <w:spacing w:line="480" w:lineRule="auto"/>
        <w:ind w:firstLine="555"/>
        <w:rPr>
          <w:rFonts w:hint="eastAsia" w:ascii="仿宋_GB2312" w:hAnsi="仿宋_GB2312" w:eastAsia="仿宋_GB2312"/>
          <w:color w:val="auto"/>
          <w:highlight w:val="none"/>
        </w:rPr>
      </w:pPr>
    </w:p>
    <w:p>
      <w:pPr>
        <w:snapToGrid w:val="0"/>
        <w:spacing w:line="480" w:lineRule="auto"/>
        <w:ind w:firstLine="2880"/>
        <w:rPr>
          <w:rFonts w:hint="eastAsia" w:ascii="仿宋_GB2312" w:hAnsi="仿宋_GB2312" w:eastAsia="仿宋_GB2312"/>
          <w:color w:val="auto"/>
          <w:highlight w:val="none"/>
        </w:rPr>
      </w:pPr>
      <w:r>
        <w:rPr>
          <w:rFonts w:hint="eastAsia" w:ascii="仿宋_GB2312" w:hAnsi="仿宋_GB2312" w:eastAsia="仿宋_GB2312"/>
          <w:color w:val="auto"/>
          <w:highlight w:val="none"/>
        </w:rPr>
        <w:t>法定代表人（</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snapToGrid w:val="0"/>
        <w:spacing w:line="480" w:lineRule="auto"/>
        <w:ind w:firstLine="2880"/>
        <w:rPr>
          <w:rFonts w:hint="eastAsia" w:ascii="仿宋_GB2312" w:hAnsi="仿宋_GB2312" w:eastAsia="仿宋_GB2312"/>
          <w:color w:val="auto"/>
          <w:highlight w:val="none"/>
        </w:rPr>
      </w:pPr>
      <w:r>
        <w:rPr>
          <w:rFonts w:hint="eastAsia" w:ascii="仿宋_GB2312" w:hAnsi="仿宋_GB2312" w:eastAsia="仿宋_GB2312"/>
          <w:color w:val="auto"/>
          <w:highlight w:val="none"/>
        </w:rPr>
        <w:t>委托代理人（</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w:t>
      </w:r>
    </w:p>
    <w:p>
      <w:pPr>
        <w:snapToGrid w:val="0"/>
        <w:spacing w:line="480" w:lineRule="auto"/>
        <w:ind w:firstLine="2880"/>
        <w:rPr>
          <w:rFonts w:hint="eastAsia" w:ascii="仿宋_GB2312" w:hAnsi="仿宋_GB2312" w:eastAsia="仿宋_GB2312"/>
          <w:color w:val="auto"/>
          <w:highlight w:val="none"/>
        </w:rPr>
      </w:pPr>
      <w:r>
        <w:rPr>
          <w:rFonts w:hint="eastAsia" w:ascii="仿宋_GB2312" w:hAnsi="仿宋_GB2312" w:eastAsia="仿宋_GB2312"/>
          <w:color w:val="auto"/>
          <w:highlight w:val="none"/>
        </w:rPr>
        <w:t>投标人（企业电子签章）：</w:t>
      </w:r>
    </w:p>
    <w:p>
      <w:pPr>
        <w:snapToGrid w:val="0"/>
        <w:spacing w:line="360" w:lineRule="auto"/>
        <w:jc w:val="center"/>
        <w:rPr>
          <w:rFonts w:hint="eastAsia" w:ascii="仿宋_GB2312" w:hAnsi="仿宋_GB2312" w:eastAsia="仿宋_GB2312"/>
          <w:color w:val="auto"/>
          <w:highlight w:val="none"/>
        </w:rPr>
      </w:pPr>
      <w:r>
        <w:rPr>
          <w:rFonts w:hint="eastAsia" w:ascii="仿宋_GB2312" w:hAnsi="仿宋_GB2312" w:eastAsia="仿宋_GB2312"/>
          <w:color w:val="auto"/>
          <w:highlight w:val="none"/>
        </w:rPr>
        <w:t xml:space="preserve">                               年   月   日</w:t>
      </w:r>
    </w:p>
    <w:p>
      <w:pPr>
        <w:snapToGrid w:val="0"/>
        <w:spacing w:line="480" w:lineRule="auto"/>
        <w:rPr>
          <w:rFonts w:hint="eastAsia" w:ascii="仿宋_GB2312" w:hAnsi="仿宋_GB2312" w:eastAsia="仿宋_GB2312"/>
          <w:color w:val="auto"/>
          <w:highlight w:val="none"/>
        </w:rPr>
      </w:pPr>
    </w:p>
    <w:p>
      <w:pPr>
        <w:snapToGrid w:val="0"/>
        <w:spacing w:line="480" w:lineRule="auto"/>
        <w:rPr>
          <w:rFonts w:hint="eastAsia" w:ascii="仿宋_GB2312" w:hAnsi="仿宋_GB2312" w:eastAsia="仿宋_GB2312"/>
          <w:color w:val="auto"/>
          <w:highlight w:val="none"/>
        </w:rPr>
      </w:pPr>
      <w:r>
        <w:rPr>
          <w:rFonts w:hint="eastAsia" w:ascii="仿宋_GB2312" w:hAnsi="仿宋_GB2312" w:eastAsia="仿宋_GB2312"/>
          <w:color w:val="auto"/>
          <w:highlight w:val="none"/>
        </w:rPr>
        <w:t>注：如不存在委托代理人，本格式委托代理人（</w:t>
      </w:r>
      <w:r>
        <w:rPr>
          <w:rFonts w:hint="eastAsia" w:ascii="仿宋_GB2312" w:hAnsi="仿宋_GB2312" w:eastAsia="仿宋_GB2312" w:cs="仿宋_GB2312"/>
          <w:color w:val="auto"/>
          <w:highlight w:val="none"/>
        </w:rPr>
        <w:t>签字或盖个人印章</w:t>
      </w:r>
      <w:r>
        <w:rPr>
          <w:rFonts w:hint="eastAsia" w:ascii="仿宋_GB2312" w:hAnsi="仿宋_GB2312" w:eastAsia="仿宋_GB2312"/>
          <w:color w:val="auto"/>
          <w:highlight w:val="none"/>
        </w:rPr>
        <w:t>）处可以“/”代替。</w:t>
      </w:r>
    </w:p>
    <w:p>
      <w:pPr>
        <w:snapToGrid w:val="0"/>
        <w:spacing w:line="480" w:lineRule="auto"/>
        <w:rPr>
          <w:rFonts w:hint="eastAsia" w:ascii="仿宋_GB2312" w:hAnsi="仿宋_GB2312" w:eastAsia="仿宋_GB2312"/>
          <w:color w:val="auto"/>
          <w:highlight w:val="none"/>
        </w:rPr>
      </w:pPr>
    </w:p>
    <w:p>
      <w:pPr>
        <w:snapToGrid w:val="0"/>
        <w:spacing w:line="360" w:lineRule="auto"/>
        <w:jc w:val="center"/>
        <w:outlineLvl w:val="1"/>
        <w:rPr>
          <w:rFonts w:hint="eastAsia" w:ascii="仿宋_GB2312" w:hAnsi="仿宋_GB2312" w:eastAsia="仿宋_GB2312"/>
          <w:color w:val="auto"/>
          <w:highlight w:val="none"/>
        </w:rPr>
      </w:pPr>
      <w:r>
        <w:rPr>
          <w:color w:val="auto"/>
          <w:highlight w:val="none"/>
        </w:rPr>
        <w:br w:type="page"/>
      </w:r>
      <w:bookmarkStart w:id="72" w:name="_Toc26636"/>
      <w:r>
        <w:rPr>
          <w:rFonts w:hint="eastAsia" w:ascii="仿宋_GB2312" w:hAnsi="仿宋_GB2312" w:eastAsia="仿宋_GB2312"/>
          <w:color w:val="auto"/>
          <w:highlight w:val="none"/>
        </w:rPr>
        <w:t>十、其他资料</w:t>
      </w:r>
      <w:bookmarkEnd w:id="72"/>
    </w:p>
    <w:p>
      <w:pPr>
        <w:snapToGrid w:val="0"/>
        <w:spacing w:line="360" w:lineRule="auto"/>
        <w:jc w:val="center"/>
        <w:rPr>
          <w:rFonts w:hint="eastAsia" w:ascii="仿宋_GB2312" w:hAnsi="仿宋_GB2312" w:eastAsia="仿宋_GB2312"/>
          <w:color w:val="auto"/>
          <w:highlight w:val="none"/>
        </w:rPr>
      </w:pPr>
    </w:p>
    <w:p>
      <w:pPr>
        <w:spacing w:line="360" w:lineRule="auto"/>
        <w:ind w:firstLine="480" w:firstLineChars="20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（一）</w:t>
      </w:r>
      <w:bookmarkStart w:id="73" w:name="_Toc7749"/>
      <w:r>
        <w:rPr>
          <w:rFonts w:hint="eastAsia" w:ascii="仿宋" w:hAnsi="仿宋" w:eastAsia="仿宋" w:cs="仿宋"/>
          <w:bCs/>
          <w:color w:val="auto"/>
          <w:highlight w:val="none"/>
        </w:rPr>
        <w:t>近年发生的诉讼和仲裁情况</w:t>
      </w:r>
      <w:bookmarkEnd w:id="73"/>
    </w:p>
    <w:p>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说明：近年发生的诉讼和仲裁情况仅限于投标人败诉的，且与履行施工承包合同有关的案件，不包括调解结案以及未裁决的仲裁或未终审判决的诉讼</w:t>
      </w:r>
      <w:r>
        <w:rPr>
          <w:rFonts w:hint="eastAsia" w:ascii="仿宋" w:hAnsi="仿宋" w:eastAsia="仿宋" w:cs="仿宋"/>
          <w:bCs/>
          <w:color w:val="auto"/>
          <w:highlight w:val="none"/>
        </w:rPr>
        <w:t>复印件</w:t>
      </w:r>
      <w:r>
        <w:rPr>
          <w:rFonts w:hint="eastAsia" w:ascii="仿宋" w:hAnsi="仿宋" w:eastAsia="仿宋" w:cs="仿宋"/>
          <w:color w:val="auto"/>
          <w:highlight w:val="none"/>
        </w:rPr>
        <w:t>。</w:t>
      </w:r>
      <w:r>
        <w:rPr>
          <w:rFonts w:hint="eastAsia" w:ascii="仿宋" w:hAnsi="仿宋" w:eastAsia="仿宋" w:cs="仿宋"/>
          <w:b/>
          <w:bCs/>
          <w:color w:val="auto"/>
          <w:highlight w:val="none"/>
        </w:rPr>
        <w:t>如果没有发生应当以文字进行说明</w:t>
      </w:r>
      <w:r>
        <w:rPr>
          <w:rFonts w:hint="eastAsia" w:ascii="仿宋" w:hAnsi="仿宋" w:eastAsia="仿宋" w:cs="仿宋"/>
          <w:b/>
          <w:bCs/>
          <w:color w:val="auto"/>
          <w:highlight w:val="none"/>
          <w:lang w:eastAsia="zh-CN"/>
        </w:rPr>
        <w:t>，时限要求详见投标须知前附表有关规定</w:t>
      </w:r>
      <w:r>
        <w:rPr>
          <w:rFonts w:hint="eastAsia" w:ascii="仿宋" w:hAnsi="仿宋" w:eastAsia="仿宋" w:cs="仿宋"/>
          <w:color w:val="auto"/>
          <w:highlight w:val="none"/>
        </w:rPr>
        <w:t>。</w:t>
      </w:r>
    </w:p>
    <w:p>
      <w:pPr>
        <w:spacing w:line="360" w:lineRule="auto"/>
        <w:ind w:firstLine="480" w:firstLineChars="20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（二）可提供的优惠承诺</w:t>
      </w:r>
    </w:p>
    <w:p>
      <w:pPr>
        <w:spacing w:line="360" w:lineRule="auto"/>
        <w:ind w:firstLine="480" w:firstLineChars="20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（三）服务承诺</w:t>
      </w:r>
    </w:p>
    <w:p>
      <w:pPr>
        <w:spacing w:line="360" w:lineRule="auto"/>
        <w:ind w:firstLine="480" w:firstLineChars="20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（四）需要落实的政府采购政策（格式及适用要求后附）</w:t>
      </w:r>
    </w:p>
    <w:p>
      <w:pPr>
        <w:spacing w:line="360" w:lineRule="auto"/>
        <w:ind w:firstLine="480" w:firstLineChars="200"/>
        <w:outlineLvl w:val="2"/>
        <w:rPr>
          <w:rFonts w:hint="eastAsia" w:ascii="仿宋" w:hAnsi="仿宋" w:eastAsia="仿宋" w:cs="仿宋"/>
          <w:bCs/>
          <w:color w:val="auto"/>
          <w:highlight w:val="none"/>
        </w:rPr>
      </w:pPr>
      <w:r>
        <w:rPr>
          <w:rFonts w:hint="eastAsia" w:ascii="仿宋" w:hAnsi="仿宋" w:eastAsia="仿宋" w:cs="仿宋"/>
          <w:bCs/>
          <w:color w:val="auto"/>
          <w:highlight w:val="none"/>
        </w:rPr>
        <w:t>（五）投标人认为有必要的其他资料</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0" w:firstLineChars="0"/>
        <w:jc w:val="left"/>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      （1）企业信用：投标文件中附证明材料扫描件，证明材料建议上传至投标文件-评审资料-企业获奖信息项外，还建议在投标文件中此处重新附上此部分材料扫描件</w:t>
      </w:r>
      <w:r>
        <w:rPr>
          <w:rFonts w:hint="eastAsia" w:ascii="仿宋" w:hAnsi="仿宋" w:eastAsia="仿宋" w:cs="仿宋"/>
          <w:bCs/>
          <w:color w:val="auto"/>
          <w:sz w:val="24"/>
          <w:szCs w:val="24"/>
          <w:highlight w:val="none"/>
          <w:lang w:eastAsia="zh-CN"/>
        </w:rPr>
        <w:t>（如有）</w:t>
      </w:r>
      <w:r>
        <w:rPr>
          <w:rFonts w:hint="eastAsia" w:ascii="仿宋" w:hAnsi="仿宋" w:eastAsia="仿宋" w:cs="仿宋"/>
          <w:bCs/>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720" w:firstLineChars="3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（2）项目经理信用：投标文件中附证明材料扫描件，证明材料建议上传至投标文件-评审资料-人员获奖信息项外，还建议在投标文件中此处重新附上此部分材料扫描件</w:t>
      </w:r>
      <w:r>
        <w:rPr>
          <w:rFonts w:hint="eastAsia" w:ascii="仿宋" w:hAnsi="仿宋" w:eastAsia="仿宋" w:cs="仿宋"/>
          <w:bCs/>
          <w:color w:val="auto"/>
          <w:sz w:val="24"/>
          <w:szCs w:val="24"/>
          <w:highlight w:val="none"/>
          <w:lang w:eastAsia="zh-CN"/>
        </w:rPr>
        <w:t>（如有）</w:t>
      </w:r>
      <w:r>
        <w:rPr>
          <w:rFonts w:hint="eastAsia" w:ascii="仿宋" w:hAnsi="仿宋" w:eastAsia="仿宋" w:cs="仿宋"/>
          <w:bCs/>
          <w:color w:val="auto"/>
          <w:sz w:val="24"/>
          <w:szCs w:val="24"/>
          <w:highlight w:val="none"/>
        </w:rPr>
        <w:t>。</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720" w:firstLineChars="300"/>
        <w:jc w:val="lef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投标</w:t>
      </w:r>
      <w:r>
        <w:rPr>
          <w:rFonts w:hint="eastAsia" w:ascii="仿宋" w:hAnsi="仿宋" w:eastAsia="仿宋" w:cs="仿宋"/>
          <w:bCs/>
          <w:color w:val="auto"/>
          <w:sz w:val="24"/>
          <w:szCs w:val="24"/>
          <w:highlight w:val="none"/>
          <w:lang w:eastAsia="zh-CN"/>
        </w:rPr>
        <w:t>人</w:t>
      </w:r>
      <w:r>
        <w:rPr>
          <w:rFonts w:hint="eastAsia" w:ascii="仿宋" w:hAnsi="仿宋" w:eastAsia="仿宋" w:cs="仿宋"/>
          <w:bCs/>
          <w:color w:val="auto"/>
          <w:sz w:val="24"/>
          <w:szCs w:val="24"/>
          <w:highlight w:val="none"/>
        </w:rPr>
        <w:t xml:space="preserve">所投的高压开关柜和箱变须有检验报告，低压开关柜须通过 </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rPr>
        <w:t>C 认证，投标</w:t>
      </w:r>
      <w:r>
        <w:rPr>
          <w:rFonts w:hint="eastAsia" w:ascii="仿宋" w:hAnsi="仿宋" w:eastAsia="仿宋" w:cs="仿宋"/>
          <w:bCs/>
          <w:color w:val="auto"/>
          <w:sz w:val="24"/>
          <w:szCs w:val="24"/>
          <w:highlight w:val="none"/>
          <w:lang w:eastAsia="zh-CN"/>
        </w:rPr>
        <w:t>文件里须附检测报告，</w:t>
      </w:r>
      <w:r>
        <w:rPr>
          <w:rFonts w:hint="eastAsia" w:ascii="仿宋" w:hAnsi="仿宋" w:eastAsia="仿宋" w:cs="仿宋"/>
          <w:bCs/>
          <w:color w:val="auto"/>
          <w:sz w:val="24"/>
          <w:szCs w:val="24"/>
          <w:highlight w:val="none"/>
          <w:lang w:val="en-US" w:eastAsia="zh-CN"/>
        </w:rPr>
        <w:t>3C认证证书，</w:t>
      </w:r>
      <w:r>
        <w:rPr>
          <w:rFonts w:hint="eastAsia" w:ascii="仿宋" w:hAnsi="仿宋" w:eastAsia="仿宋" w:cs="仿宋"/>
          <w:bCs/>
          <w:color w:val="auto"/>
          <w:sz w:val="24"/>
          <w:szCs w:val="24"/>
          <w:highlight w:val="none"/>
          <w:lang w:eastAsia="zh-CN"/>
        </w:rPr>
        <w:t>检测</w:t>
      </w:r>
      <w:r>
        <w:rPr>
          <w:rFonts w:hint="eastAsia" w:ascii="仿宋" w:hAnsi="仿宋" w:eastAsia="仿宋" w:cs="仿宋"/>
          <w:bCs/>
          <w:color w:val="auto"/>
          <w:sz w:val="24"/>
          <w:szCs w:val="24"/>
          <w:highlight w:val="none"/>
          <w:lang w:val="en-US" w:eastAsia="zh-CN"/>
        </w:rPr>
        <w:t>报告、3C认证证书显示规格型号须与投标规格型号一致</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 xml:space="preserve">  </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720" w:firstLineChars="300"/>
        <w:jc w:val="lef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投标</w:t>
      </w:r>
      <w:r>
        <w:rPr>
          <w:rFonts w:hint="eastAsia" w:ascii="仿宋" w:hAnsi="仿宋" w:eastAsia="仿宋" w:cs="仿宋"/>
          <w:bCs/>
          <w:color w:val="auto"/>
          <w:sz w:val="24"/>
          <w:szCs w:val="24"/>
          <w:highlight w:val="none"/>
          <w:lang w:eastAsia="zh-CN"/>
        </w:rPr>
        <w:t>人</w:t>
      </w:r>
      <w:r>
        <w:rPr>
          <w:rFonts w:hint="eastAsia" w:ascii="仿宋" w:hAnsi="仿宋" w:eastAsia="仿宋" w:cs="仿宋"/>
          <w:bCs/>
          <w:color w:val="auto"/>
          <w:sz w:val="24"/>
          <w:szCs w:val="24"/>
          <w:highlight w:val="none"/>
        </w:rPr>
        <w:t>所投</w:t>
      </w:r>
      <w:r>
        <w:rPr>
          <w:rFonts w:hint="eastAsia" w:ascii="仿宋" w:hAnsi="仿宋" w:eastAsia="仿宋" w:cs="仿宋"/>
          <w:bCs/>
          <w:color w:val="auto"/>
          <w:sz w:val="24"/>
          <w:szCs w:val="24"/>
          <w:highlight w:val="none"/>
          <w:lang w:eastAsia="zh-CN"/>
        </w:rPr>
        <w:t>主要高低压元器件制造商出具的技术参数证明文件（要求参见投标函附录二</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lang w:eastAsia="zh-CN"/>
        </w:rPr>
        <w:t>主要高低压元器件产地来源表）</w:t>
      </w:r>
    </w:p>
    <w:p>
      <w:pPr>
        <w:pStyle w:val="22"/>
        <w:keepNext w:val="0"/>
        <w:keepLines w:val="0"/>
        <w:pageBreakBefore w:val="0"/>
        <w:widowControl w:val="0"/>
        <w:kinsoku/>
        <w:wordWrap/>
        <w:overflowPunct/>
        <w:topLinePunct w:val="0"/>
        <w:autoSpaceDE/>
        <w:autoSpaceDN/>
        <w:bidi w:val="0"/>
        <w:adjustRightInd/>
        <w:snapToGrid/>
        <w:spacing w:after="0" w:line="360" w:lineRule="auto"/>
        <w:ind w:firstLine="720" w:firstLineChars="300"/>
        <w:jc w:val="left"/>
        <w:textAlignment w:val="auto"/>
        <w:rPr>
          <w:rFonts w:hint="default" w:ascii="仿宋" w:hAnsi="仿宋" w:eastAsia="仿宋" w:cs="仿宋"/>
          <w:bCs/>
          <w:color w:val="auto"/>
          <w:sz w:val="24"/>
          <w:szCs w:val="24"/>
          <w:highlight w:val="none"/>
          <w:lang w:val="en-US" w:eastAsia="zh-CN"/>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snapToGrid w:val="0"/>
        <w:spacing w:line="360" w:lineRule="auto"/>
        <w:ind w:firstLine="420"/>
        <w:rPr>
          <w:rFonts w:hint="eastAsia" w:ascii="仿宋_GB2312" w:hAnsi="仿宋_GB2312" w:eastAsia="仿宋_GB2312"/>
          <w:color w:val="auto"/>
          <w:highlight w:val="none"/>
        </w:rPr>
      </w:pPr>
    </w:p>
    <w:p>
      <w:pPr>
        <w:pStyle w:val="22"/>
        <w:rPr>
          <w:rFonts w:hint="eastAsia" w:ascii="仿宋_GB2312" w:hAnsi="仿宋_GB2312" w:eastAsia="仿宋_GB2312"/>
          <w:color w:val="auto"/>
          <w:highlight w:val="none"/>
        </w:rPr>
      </w:pPr>
    </w:p>
    <w:p>
      <w:pPr>
        <w:spacing w:line="400" w:lineRule="exact"/>
        <w:jc w:val="center"/>
        <w:outlineLvl w:val="2"/>
        <w:rPr>
          <w:rFonts w:hint="eastAsia" w:ascii="仿宋" w:hAnsi="仿宋" w:eastAsia="仿宋" w:cs="仿宋"/>
          <w:color w:val="auto"/>
          <w:szCs w:val="21"/>
          <w:highlight w:val="none"/>
        </w:rPr>
      </w:pPr>
      <w:r>
        <w:rPr>
          <w:rFonts w:hint="eastAsia" w:ascii="仿宋" w:hAnsi="仿宋" w:eastAsia="仿宋" w:cs="仿宋"/>
          <w:b/>
          <w:bCs/>
          <w:color w:val="auto"/>
          <w:sz w:val="30"/>
          <w:highlight w:val="none"/>
        </w:rPr>
        <w:t>中小企业声明函或属于监狱企业的证明文件或残疾人福利性单位声明函（根据情况提供）</w:t>
      </w:r>
    </w:p>
    <w:p>
      <w:pPr>
        <w:spacing w:line="400" w:lineRule="exact"/>
        <w:jc w:val="center"/>
        <w:rPr>
          <w:rFonts w:hint="eastAsia" w:ascii="仿宋" w:hAnsi="仿宋" w:eastAsia="仿宋" w:cs="仿宋"/>
          <w:color w:val="auto"/>
          <w:szCs w:val="21"/>
          <w:highlight w:val="none"/>
        </w:rPr>
      </w:pPr>
    </w:p>
    <w:p>
      <w:pPr>
        <w:spacing w:line="400" w:lineRule="exact"/>
        <w:jc w:val="center"/>
        <w:rPr>
          <w:rFonts w:hint="eastAsia" w:ascii="仿宋" w:hAnsi="仿宋" w:eastAsia="仿宋" w:cs="仿宋"/>
          <w:color w:val="auto"/>
          <w:szCs w:val="21"/>
          <w:highlight w:val="none"/>
        </w:rPr>
      </w:pPr>
    </w:p>
    <w:p>
      <w:pPr>
        <w:spacing w:line="400" w:lineRule="exact"/>
        <w:jc w:val="center"/>
        <w:rPr>
          <w:rFonts w:hint="eastAsia" w:ascii="仿宋" w:hAnsi="仿宋" w:eastAsia="仿宋" w:cs="仿宋"/>
          <w:color w:val="auto"/>
          <w:szCs w:val="21"/>
          <w:highlight w:val="none"/>
        </w:rPr>
      </w:pPr>
    </w:p>
    <w:p>
      <w:pPr>
        <w:spacing w:line="400" w:lineRule="exact"/>
        <w:jc w:val="center"/>
        <w:outlineLvl w:val="2"/>
        <w:rPr>
          <w:rFonts w:hint="eastAsia" w:ascii="仿宋" w:hAnsi="仿宋" w:eastAsia="仿宋" w:cs="仿宋"/>
          <w:b/>
          <w:bCs/>
          <w:color w:val="auto"/>
          <w:sz w:val="30"/>
          <w:highlight w:val="none"/>
        </w:rPr>
      </w:pPr>
      <w:r>
        <w:rPr>
          <w:rFonts w:hint="eastAsia" w:ascii="仿宋" w:hAnsi="仿宋" w:eastAsia="仿宋" w:cs="仿宋"/>
          <w:b/>
          <w:bCs/>
          <w:color w:val="auto"/>
          <w:sz w:val="30"/>
          <w:highlight w:val="none"/>
        </w:rPr>
        <w:t>中小企业声明函</w:t>
      </w:r>
    </w:p>
    <w:p>
      <w:pPr>
        <w:spacing w:line="400" w:lineRule="exact"/>
        <w:jc w:val="center"/>
        <w:rPr>
          <w:rFonts w:hint="eastAsia" w:ascii="仿宋" w:hAnsi="仿宋" w:eastAsia="仿宋" w:cs="仿宋"/>
          <w:color w:val="auto"/>
          <w:szCs w:val="21"/>
          <w:highlight w:val="none"/>
        </w:rPr>
      </w:pPr>
    </w:p>
    <w:p>
      <w:pPr>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本公司郑重声明，根据《政府采购促进中小企业发展暂行办法》 （财库〔2011〕181 号）的规定，本公司为______（请填写：中型、小型、微型）企业。即，本公司同时满足以下条件：</w:t>
      </w:r>
    </w:p>
    <w:p>
      <w:pPr>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1.根据《工业和信息化部、国家统计局、国家发展和改革委员会、财政部关于印发中小企业划型标准规定的通知》 （工信部联企业 〔2011〕 300 号） 规定的划分标准， 本公司为______（请填写：中型、小型、微型）企业。</w:t>
      </w:r>
    </w:p>
    <w:p>
      <w:pPr>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400" w:lineRule="exact"/>
        <w:ind w:firstLine="480" w:firstLineChars="200"/>
        <w:rPr>
          <w:rFonts w:hint="eastAsia" w:ascii="仿宋" w:hAnsi="仿宋" w:eastAsia="仿宋" w:cs="仿宋"/>
          <w:color w:val="auto"/>
          <w:szCs w:val="21"/>
          <w:highlight w:val="none"/>
        </w:rPr>
      </w:pPr>
    </w:p>
    <w:p>
      <w:pPr>
        <w:spacing w:line="400" w:lineRule="exact"/>
        <w:ind w:firstLine="48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本公司对上述声明的真实性负责。如有虚假，将依法承担相应责任。</w:t>
      </w:r>
    </w:p>
    <w:p>
      <w:pPr>
        <w:spacing w:line="400" w:lineRule="exact"/>
        <w:rPr>
          <w:rFonts w:hint="eastAsia" w:ascii="仿宋" w:hAnsi="仿宋" w:eastAsia="仿宋" w:cs="仿宋"/>
          <w:color w:val="auto"/>
          <w:szCs w:val="21"/>
          <w:highlight w:val="none"/>
        </w:rPr>
      </w:pP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企业名称（企业电子签章）：</w:t>
      </w:r>
    </w:p>
    <w:p>
      <w:pPr>
        <w:spacing w:line="400" w:lineRule="exact"/>
        <w:rPr>
          <w:rFonts w:hint="eastAsia" w:ascii="仿宋" w:hAnsi="仿宋" w:eastAsia="仿宋" w:cs="仿宋"/>
          <w:color w:val="auto"/>
          <w:szCs w:val="21"/>
          <w:highlight w:val="none"/>
        </w:rPr>
      </w:pPr>
    </w:p>
    <w:p>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日 期：</w:t>
      </w: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r>
        <w:rPr>
          <w:rFonts w:hint="eastAsia" w:ascii="仿宋" w:hAnsi="仿宋" w:eastAsia="仿宋" w:cs="仿宋"/>
          <w:color w:val="auto"/>
          <w:spacing w:val="6"/>
          <w:szCs w:val="21"/>
          <w:highlight w:val="none"/>
        </w:rPr>
        <w:t>注：如不满足条件，可不提供。</w:t>
      </w: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pStyle w:val="10"/>
        <w:rPr>
          <w:rFonts w:hint="eastAsia"/>
          <w:color w:val="auto"/>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rPr>
          <w:rFonts w:hint="eastAsia" w:ascii="仿宋" w:hAnsi="仿宋" w:eastAsia="仿宋" w:cs="仿宋"/>
          <w:color w:val="auto"/>
          <w:sz w:val="28"/>
          <w:highlight w:val="none"/>
        </w:rPr>
      </w:pPr>
    </w:p>
    <w:p>
      <w:pPr>
        <w:spacing w:line="400" w:lineRule="exact"/>
        <w:jc w:val="center"/>
        <w:outlineLvl w:val="2"/>
        <w:rPr>
          <w:rFonts w:hint="eastAsia" w:ascii="仿宋" w:hAnsi="仿宋" w:eastAsia="仿宋" w:cs="仿宋"/>
          <w:b/>
          <w:bCs/>
          <w:color w:val="auto"/>
          <w:sz w:val="30"/>
          <w:highlight w:val="none"/>
        </w:rPr>
      </w:pPr>
      <w:r>
        <w:rPr>
          <w:rFonts w:hint="eastAsia" w:ascii="仿宋" w:hAnsi="仿宋" w:eastAsia="仿宋" w:cs="仿宋"/>
          <w:b/>
          <w:bCs/>
          <w:color w:val="auto"/>
          <w:sz w:val="30"/>
          <w:highlight w:val="none"/>
        </w:rPr>
        <w:t>监狱企业的证明文件</w:t>
      </w:r>
    </w:p>
    <w:p>
      <w:pPr>
        <w:spacing w:line="400" w:lineRule="exact"/>
        <w:jc w:val="center"/>
        <w:rPr>
          <w:rFonts w:hint="eastAsia" w:ascii="仿宋" w:hAnsi="仿宋" w:eastAsia="仿宋" w:cs="仿宋"/>
          <w:b/>
          <w:bCs/>
          <w:color w:val="auto"/>
          <w:sz w:val="30"/>
          <w:highlight w:val="none"/>
        </w:rPr>
      </w:pPr>
      <w:bookmarkStart w:id="74" w:name="OLE_LINK13"/>
      <w:bookmarkStart w:id="75" w:name="OLE_LINK14"/>
    </w:p>
    <w:p>
      <w:pPr>
        <w:spacing w:line="588" w:lineRule="exact"/>
        <w:ind w:firstLine="50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注：如不满足条件，可不提供。</w:t>
      </w:r>
    </w:p>
    <w:p>
      <w:pPr>
        <w:spacing w:line="400" w:lineRule="exact"/>
        <w:jc w:val="center"/>
        <w:rPr>
          <w:rFonts w:hint="eastAsia" w:ascii="仿宋" w:hAnsi="仿宋" w:eastAsia="仿宋" w:cs="仿宋"/>
          <w:b/>
          <w:bCs/>
          <w:color w:val="auto"/>
          <w:sz w:val="30"/>
          <w:highlight w:val="none"/>
        </w:rPr>
      </w:pPr>
    </w:p>
    <w:p>
      <w:pPr>
        <w:spacing w:line="400" w:lineRule="exact"/>
        <w:jc w:val="center"/>
        <w:rPr>
          <w:rFonts w:hint="eastAsia" w:ascii="仿宋" w:hAnsi="仿宋" w:eastAsia="仿宋" w:cs="仿宋"/>
          <w:b/>
          <w:bCs/>
          <w:color w:val="auto"/>
          <w:sz w:val="30"/>
          <w:highlight w:val="none"/>
        </w:rPr>
      </w:pPr>
    </w:p>
    <w:p>
      <w:pPr>
        <w:spacing w:line="400" w:lineRule="exact"/>
        <w:jc w:val="center"/>
        <w:rPr>
          <w:rFonts w:hint="eastAsia" w:ascii="仿宋" w:hAnsi="仿宋" w:eastAsia="仿宋" w:cs="仿宋"/>
          <w:b/>
          <w:bCs/>
          <w:color w:val="auto"/>
          <w:sz w:val="30"/>
          <w:highlight w:val="none"/>
        </w:rPr>
      </w:pPr>
    </w:p>
    <w:p>
      <w:pPr>
        <w:spacing w:line="400" w:lineRule="exact"/>
        <w:jc w:val="center"/>
        <w:outlineLvl w:val="2"/>
        <w:rPr>
          <w:rFonts w:hint="eastAsia" w:ascii="仿宋" w:hAnsi="仿宋" w:eastAsia="仿宋" w:cs="仿宋"/>
          <w:b/>
          <w:bCs/>
          <w:color w:val="auto"/>
          <w:sz w:val="30"/>
          <w:highlight w:val="none"/>
        </w:rPr>
      </w:pPr>
      <w:r>
        <w:rPr>
          <w:rFonts w:hint="eastAsia" w:ascii="仿宋" w:hAnsi="仿宋" w:eastAsia="仿宋" w:cs="仿宋"/>
          <w:b/>
          <w:bCs/>
          <w:color w:val="auto"/>
          <w:sz w:val="30"/>
          <w:highlight w:val="none"/>
        </w:rPr>
        <w:t>残疾人福利性单位声明函</w:t>
      </w:r>
    </w:p>
    <w:bookmarkEnd w:id="74"/>
    <w:bookmarkEnd w:id="75"/>
    <w:p>
      <w:pPr>
        <w:spacing w:line="588" w:lineRule="exact"/>
        <w:rPr>
          <w:rFonts w:hint="eastAsia" w:ascii="仿宋" w:hAnsi="仿宋" w:eastAsia="仿宋" w:cs="仿宋"/>
          <w:b/>
          <w:color w:val="auto"/>
          <w:spacing w:val="6"/>
          <w:szCs w:val="21"/>
          <w:highlight w:val="none"/>
        </w:rPr>
      </w:pPr>
    </w:p>
    <w:p>
      <w:pPr>
        <w:spacing w:line="588" w:lineRule="exact"/>
        <w:ind w:firstLine="50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本单位郑重声明，根据《财政部 民政部 中国残疾人联合会关于促进残疾人就业政府采购政策的通知》（财库</w:t>
      </w:r>
      <w:r>
        <w:rPr>
          <w:rFonts w:hint="eastAsia" w:ascii="仿宋" w:hAnsi="仿宋" w:eastAsia="仿宋" w:cs="仿宋"/>
          <w:color w:val="auto"/>
          <w:szCs w:val="21"/>
          <w:highlight w:val="none"/>
        </w:rPr>
        <w:t>〔2017〕 141</w:t>
      </w:r>
      <w:r>
        <w:rPr>
          <w:rFonts w:hint="eastAsia" w:ascii="仿宋" w:hAnsi="仿宋" w:eastAsia="仿宋" w:cs="仿宋"/>
          <w:color w:val="auto"/>
          <w:spacing w:val="6"/>
          <w:szCs w:val="21"/>
          <w:highlight w:val="none"/>
        </w:rPr>
        <w:t>号）的规定，本单位为符合条件的残疾人福利性单位，且本单位参加___单位的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本单位对上述声明的真实性负责。如有虚假，将依法承担相应责任。</w:t>
      </w:r>
    </w:p>
    <w:p>
      <w:pPr>
        <w:spacing w:line="588" w:lineRule="exact"/>
        <w:ind w:firstLine="504" w:firstLineChars="200"/>
        <w:rPr>
          <w:rFonts w:hint="eastAsia" w:ascii="仿宋" w:hAnsi="仿宋" w:eastAsia="仿宋" w:cs="仿宋"/>
          <w:color w:val="auto"/>
          <w:spacing w:val="6"/>
          <w:szCs w:val="21"/>
          <w:highlight w:val="none"/>
        </w:rPr>
      </w:pPr>
    </w:p>
    <w:p>
      <w:pPr>
        <w:spacing w:line="588" w:lineRule="exact"/>
        <w:ind w:firstLine="504" w:firstLineChars="200"/>
        <w:rPr>
          <w:rFonts w:hint="eastAsia" w:ascii="仿宋" w:hAnsi="仿宋" w:eastAsia="仿宋" w:cs="仿宋"/>
          <w:color w:val="auto"/>
          <w:spacing w:val="6"/>
          <w:szCs w:val="21"/>
          <w:highlight w:val="none"/>
        </w:rPr>
      </w:pPr>
    </w:p>
    <w:p>
      <w:pPr>
        <w:tabs>
          <w:tab w:val="left" w:pos="4860"/>
        </w:tabs>
        <w:spacing w:line="588" w:lineRule="exact"/>
        <w:ind w:right="1560" w:firstLine="50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单位名称（企业电子签章）：</w:t>
      </w:r>
    </w:p>
    <w:p>
      <w:pPr>
        <w:tabs>
          <w:tab w:val="left" w:pos="4860"/>
        </w:tabs>
        <w:spacing w:line="588" w:lineRule="exact"/>
        <w:ind w:right="1560" w:firstLine="504" w:firstLineChars="200"/>
        <w:jc w:val="center"/>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 xml:space="preserve">       日  期：</w:t>
      </w:r>
    </w:p>
    <w:p>
      <w:pPr>
        <w:spacing w:line="400" w:lineRule="exact"/>
        <w:jc w:val="center"/>
        <w:rPr>
          <w:rFonts w:hint="eastAsia" w:ascii="仿宋" w:hAnsi="仿宋" w:eastAsia="仿宋" w:cs="仿宋"/>
          <w:b/>
          <w:bCs/>
          <w:color w:val="auto"/>
          <w:sz w:val="30"/>
          <w:highlight w:val="none"/>
        </w:rPr>
      </w:pPr>
    </w:p>
    <w:p>
      <w:pPr>
        <w:spacing w:line="400" w:lineRule="exact"/>
        <w:jc w:val="center"/>
        <w:rPr>
          <w:rFonts w:hint="eastAsia" w:ascii="仿宋" w:hAnsi="仿宋" w:eastAsia="仿宋" w:cs="仿宋"/>
          <w:b/>
          <w:bCs/>
          <w:color w:val="auto"/>
          <w:sz w:val="30"/>
          <w:highlight w:val="none"/>
        </w:rPr>
      </w:pPr>
    </w:p>
    <w:p>
      <w:pPr>
        <w:spacing w:line="588" w:lineRule="exact"/>
        <w:ind w:firstLine="504"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注：如不满足条件，可不提供。</w:t>
      </w:r>
    </w:p>
    <w:p>
      <w:pPr>
        <w:spacing w:line="360" w:lineRule="auto"/>
        <w:ind w:firstLine="480" w:firstLineChars="200"/>
        <w:rPr>
          <w:rFonts w:hint="eastAsia" w:ascii="仿宋" w:hAnsi="仿宋" w:eastAsia="仿宋" w:cs="仿宋"/>
          <w:bCs/>
          <w:color w:val="auto"/>
          <w:szCs w:val="21"/>
          <w:highlight w:val="none"/>
        </w:rPr>
      </w:pPr>
    </w:p>
    <w:p>
      <w:pPr>
        <w:spacing w:line="360" w:lineRule="auto"/>
        <w:ind w:firstLine="480" w:firstLineChars="200"/>
        <w:rPr>
          <w:rFonts w:hint="eastAsia" w:ascii="仿宋" w:hAnsi="仿宋" w:eastAsia="仿宋" w:cs="仿宋"/>
          <w:bCs/>
          <w:color w:val="auto"/>
          <w:szCs w:val="21"/>
          <w:highlight w:val="none"/>
        </w:rPr>
      </w:pPr>
    </w:p>
    <w:p>
      <w:pPr>
        <w:spacing w:line="360" w:lineRule="auto"/>
        <w:ind w:firstLine="480" w:firstLineChars="200"/>
        <w:rPr>
          <w:rFonts w:hint="eastAsia" w:ascii="仿宋" w:hAnsi="仿宋" w:eastAsia="仿宋" w:cs="仿宋"/>
          <w:bCs/>
          <w:color w:val="auto"/>
          <w:szCs w:val="21"/>
          <w:highlight w:val="none"/>
        </w:rPr>
      </w:pPr>
    </w:p>
    <w:p>
      <w:pPr>
        <w:spacing w:line="360" w:lineRule="auto"/>
        <w:ind w:firstLine="480" w:firstLineChars="200"/>
        <w:rPr>
          <w:rFonts w:hint="eastAsia" w:ascii="仿宋" w:hAnsi="仿宋" w:eastAsia="仿宋" w:cs="仿宋"/>
          <w:bCs/>
          <w:color w:val="auto"/>
          <w:szCs w:val="21"/>
          <w:highlight w:val="none"/>
        </w:rPr>
      </w:pPr>
    </w:p>
    <w:p>
      <w:pPr>
        <w:spacing w:line="360" w:lineRule="auto"/>
        <w:ind w:left="960" w:leftChars="40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政府采购政策说明</w:t>
      </w:r>
    </w:p>
    <w:p>
      <w:pPr>
        <w:spacing w:line="360" w:lineRule="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1、对小微企业及监狱企业的鼓励措施</w:t>
      </w:r>
    </w:p>
    <w:p>
      <w:pPr>
        <w:spacing w:line="360" w:lineRule="auto"/>
        <w:ind w:left="720" w:left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 根据</w:t>
      </w:r>
      <w:r>
        <w:rPr>
          <w:rFonts w:hint="eastAsia" w:ascii="仿宋" w:hAnsi="仿宋" w:eastAsia="仿宋" w:cs="仿宋"/>
          <w:b/>
          <w:bCs/>
          <w:color w:val="auto"/>
          <w:szCs w:val="21"/>
          <w:highlight w:val="none"/>
        </w:rPr>
        <w:t>《政府采购促进中小企业发展暂行办法》（财库〔2011〕181 号）</w:t>
      </w:r>
      <w:r>
        <w:rPr>
          <w:rFonts w:hint="eastAsia" w:ascii="仿宋" w:hAnsi="仿宋" w:eastAsia="仿宋" w:cs="仿宋"/>
          <w:color w:val="auto"/>
          <w:szCs w:val="21"/>
          <w:highlight w:val="none"/>
        </w:rPr>
        <w:t>和</w:t>
      </w:r>
      <w:r>
        <w:rPr>
          <w:rFonts w:hint="eastAsia" w:ascii="仿宋" w:hAnsi="仿宋" w:eastAsia="仿宋" w:cs="仿宋"/>
          <w:b/>
          <w:bCs/>
          <w:color w:val="auto"/>
          <w:szCs w:val="21"/>
          <w:highlight w:val="none"/>
        </w:rPr>
        <w:t>《财政部司法部关于政府采购支持监狱企业发展有关问题的通知》（财库〔2014〕68 号）</w:t>
      </w:r>
      <w:r>
        <w:rPr>
          <w:rFonts w:hint="eastAsia" w:ascii="仿宋" w:hAnsi="仿宋" w:eastAsia="仿宋" w:cs="仿宋"/>
          <w:color w:val="auto"/>
          <w:szCs w:val="21"/>
          <w:highlight w:val="none"/>
        </w:rPr>
        <w:t>的规定，对满足价格扣除条件且在投标文件中提交了</w:t>
      </w:r>
      <w:r>
        <w:rPr>
          <w:rFonts w:hint="eastAsia" w:ascii="仿宋" w:hAnsi="仿宋" w:eastAsia="仿宋" w:cs="仿宋"/>
          <w:b/>
          <w:bCs/>
          <w:color w:val="auto"/>
          <w:szCs w:val="21"/>
          <w:highlight w:val="none"/>
        </w:rPr>
        <w:t>《中小企业声明函》（见招标文件格式）</w:t>
      </w:r>
      <w:r>
        <w:rPr>
          <w:rFonts w:hint="eastAsia" w:ascii="仿宋" w:hAnsi="仿宋" w:eastAsia="仿宋" w:cs="仿宋"/>
          <w:color w:val="auto"/>
          <w:szCs w:val="21"/>
          <w:highlight w:val="none"/>
        </w:rPr>
        <w:t>或省级以上监狱管理局、戒毒管理局（含新疆生产建设兵团）</w:t>
      </w:r>
      <w:r>
        <w:rPr>
          <w:rFonts w:hint="eastAsia" w:ascii="仿宋" w:hAnsi="仿宋" w:eastAsia="仿宋" w:cs="仿宋"/>
          <w:b/>
          <w:bCs/>
          <w:color w:val="auto"/>
          <w:szCs w:val="21"/>
          <w:highlight w:val="none"/>
        </w:rPr>
        <w:t>出具的属于监狱企业的证明文件</w:t>
      </w:r>
      <w:r>
        <w:rPr>
          <w:rFonts w:hint="eastAsia" w:ascii="仿宋" w:hAnsi="仿宋" w:eastAsia="仿宋" w:cs="仿宋"/>
          <w:color w:val="auto"/>
          <w:szCs w:val="21"/>
          <w:highlight w:val="none"/>
        </w:rPr>
        <w:t>的投标人，</w:t>
      </w:r>
      <w:r>
        <w:rPr>
          <w:rFonts w:hint="eastAsia" w:ascii="仿宋" w:hAnsi="仿宋" w:eastAsia="仿宋" w:cs="仿宋"/>
          <w:b/>
          <w:bCs/>
          <w:color w:val="auto"/>
          <w:szCs w:val="21"/>
          <w:highlight w:val="none"/>
        </w:rPr>
        <w:t>其评标报价扣除6%后参与价格评审。中标价格为投标总报价</w:t>
      </w:r>
      <w:r>
        <w:rPr>
          <w:rFonts w:hint="eastAsia" w:ascii="仿宋" w:hAnsi="仿宋" w:eastAsia="仿宋" w:cs="仿宋"/>
          <w:color w:val="auto"/>
          <w:szCs w:val="21"/>
          <w:highlight w:val="none"/>
        </w:rPr>
        <w:t>。</w:t>
      </w:r>
    </w:p>
    <w:p>
      <w:pPr>
        <w:spacing w:line="360" w:lineRule="auto"/>
        <w:ind w:left="720" w:left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1.2 </w:t>
      </w:r>
      <w:r>
        <w:rPr>
          <w:rFonts w:hint="eastAsia" w:ascii="仿宋" w:hAnsi="仿宋" w:eastAsia="仿宋" w:cs="仿宋"/>
          <w:b/>
          <w:bCs/>
          <w:color w:val="auto"/>
          <w:szCs w:val="21"/>
          <w:highlight w:val="none"/>
        </w:rPr>
        <w:t>法规依据</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1)“关于印发《政府采购促进中小企业发展暂行办法》的通知”（财库〔2011〕181 号）；</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2)“工业和信息化部、国家统计局、国家发展和改革委员会、财政部关于印发中小企业划型标准规定的通知” （工信部联企业〔2011〕300 号） </w:t>
      </w:r>
    </w:p>
    <w:p>
      <w:pPr>
        <w:spacing w:line="360" w:lineRule="auto"/>
        <w:ind w:left="720" w:left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 </w:t>
      </w:r>
      <w:r>
        <w:rPr>
          <w:rFonts w:hint="eastAsia" w:ascii="仿宋" w:hAnsi="仿宋" w:eastAsia="仿宋" w:cs="仿宋"/>
          <w:b/>
          <w:bCs/>
          <w:color w:val="auto"/>
          <w:szCs w:val="21"/>
          <w:highlight w:val="none"/>
          <w:shd w:val="clear" w:color="FFFFFF" w:fill="D9D9D9"/>
        </w:rPr>
        <w:t>享受价格扣除政策的小型、微型企业必须同时满足以下条件</w:t>
      </w:r>
      <w:r>
        <w:rPr>
          <w:rFonts w:hint="eastAsia" w:ascii="仿宋" w:hAnsi="仿宋" w:eastAsia="仿宋" w:cs="仿宋"/>
          <w:color w:val="auto"/>
          <w:szCs w:val="21"/>
          <w:highlight w:val="none"/>
        </w:rPr>
        <w:t>：</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 符合小型、微型企业划分标准（按照“关于印发中小企业划型标准规定的通知” （工信部联企业〔2011〕300 号）的规定划分）；</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 投标人提供了《中小企业声明函》（格式见招标文件格式部分），声明其为小型或微型企业；</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 提供本企业生产的产品（货物）、由本企业承担工程、提供服务，或者提供其他小型、微型企业生产的产品（货物），且投标产品（货物）的制造商为中国境内注册的，产品原产地为中国。</w:t>
      </w:r>
    </w:p>
    <w:p>
      <w:pPr>
        <w:spacing w:line="360" w:lineRule="auto"/>
        <w:ind w:left="960" w:leftChars="4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 投标人为中国境内注册的；</w:t>
      </w:r>
    </w:p>
    <w:p>
      <w:pPr>
        <w:spacing w:line="360" w:lineRule="auto"/>
        <w:ind w:left="960" w:leftChars="400"/>
        <w:rPr>
          <w:rFonts w:hint="eastAsia" w:ascii="仿宋" w:hAnsi="仿宋" w:eastAsia="仿宋" w:cs="仿宋"/>
          <w:b/>
          <w:bCs/>
          <w:color w:val="auto"/>
          <w:szCs w:val="21"/>
          <w:highlight w:val="none"/>
        </w:rPr>
      </w:pPr>
      <w:r>
        <w:rPr>
          <w:rFonts w:hint="eastAsia" w:ascii="仿宋" w:hAnsi="仿宋" w:eastAsia="仿宋" w:cs="仿宋"/>
          <w:color w:val="auto"/>
          <w:szCs w:val="21"/>
          <w:highlight w:val="none"/>
        </w:rPr>
        <w:t>注：除满足上述条件外，多品目投标时所有产品的生产企业须同时为</w:t>
      </w:r>
      <w:r>
        <w:rPr>
          <w:rFonts w:hint="eastAsia" w:ascii="仿宋" w:hAnsi="仿宋" w:eastAsia="仿宋" w:cs="仿宋"/>
          <w:b/>
          <w:bCs/>
          <w:color w:val="auto"/>
          <w:szCs w:val="21"/>
          <w:highlight w:val="none"/>
        </w:rPr>
        <w:t>小型、微型企业，才能享受价格扣除政策。</w:t>
      </w:r>
    </w:p>
    <w:p>
      <w:pPr>
        <w:spacing w:line="360" w:lineRule="auto"/>
        <w:rPr>
          <w:rFonts w:hint="eastAsia"/>
          <w:color w:val="auto"/>
          <w:highlight w:val="none"/>
        </w:rPr>
      </w:pPr>
      <w:r>
        <w:rPr>
          <w:rFonts w:hint="eastAsia" w:ascii="仿宋" w:hAnsi="仿宋" w:eastAsia="仿宋" w:cs="仿宋"/>
          <w:b/>
          <w:bCs/>
          <w:color w:val="auto"/>
          <w:szCs w:val="21"/>
          <w:highlight w:val="none"/>
        </w:rPr>
        <w:t>2</w:t>
      </w:r>
      <w:r>
        <w:rPr>
          <w:rFonts w:hint="eastAsia" w:ascii="仿宋" w:hAnsi="仿宋" w:eastAsia="仿宋" w:cs="仿宋"/>
          <w:color w:val="auto"/>
          <w:szCs w:val="21"/>
          <w:highlight w:val="none"/>
        </w:rPr>
        <w:t xml:space="preserve"> 提供的中小企业声明函或属于监狱企业的证明文件或残疾人福利性单位声明函与事实不符的，视同提供虚假材料谋取中标、成交的违法情形，将追究法律责任。在政府采购活动中，残疾人福利性单位视同小型、微型企业，享受预留份额、评审中价格扣除等政府采购政策，残疾人福利性单位属于小型、微型企业的，不重复享受政策。</w:t>
      </w:r>
      <w:bookmarkStart w:id="76" w:name="br1"/>
      <w:bookmarkEnd w:id="76"/>
      <w:r>
        <w:rPr>
          <w:rFonts w:hint="eastAsia"/>
          <w:color w:val="auto"/>
          <w:highlight w:val="none"/>
        </w:rPr>
        <w:tab/>
      </w:r>
    </w:p>
    <w:sectPr>
      <w:headerReference r:id="rId12" w:type="default"/>
      <w:footerReference r:id="rId13" w:type="default"/>
      <w:pgSz w:w="11900" w:h="16820"/>
      <w:pgMar w:top="1417" w:right="1134" w:bottom="1417" w:left="1134" w:header="850" w:footer="850" w:gutter="0"/>
      <w:cols w:space="720" w:num="1"/>
      <w:docGrid w:linePitch="1"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7-31T19:21:04Z" w:initials="A">
    <w:p w14:paraId="18DE6EAF">
      <w:pPr>
        <w:pStyle w:val="9"/>
      </w:pPr>
      <w:r>
        <w:rPr>
          <w:rFonts w:hint="eastAsia" w:ascii="仿宋" w:hAnsi="仿宋" w:eastAsia="仿宋" w:cs="仿宋"/>
          <w:color w:val="auto"/>
          <w:sz w:val="24"/>
          <w:highlight w:val="yellow"/>
          <w:lang w:eastAsia="zh-CN"/>
        </w:rPr>
        <w:t>开标现场</w:t>
      </w:r>
      <w:r>
        <w:rPr>
          <w:rFonts w:hint="eastAsia" w:ascii="仿宋" w:hAnsi="仿宋" w:eastAsia="仿宋" w:cs="仿宋"/>
          <w:color w:val="auto"/>
          <w:sz w:val="24"/>
          <w:highlight w:val="yellow"/>
        </w:rPr>
        <w:t>在监标人现场监督下由招标人代表现场抽取K值，并将抽取结果在河南省公共资源交易中心系统中群发消息公布</w:t>
      </w:r>
    </w:p>
  </w:comment>
  <w:comment w:id="1" w:author="Administrator" w:date="2020-07-31T19:20:35Z" w:initials="A">
    <w:p w14:paraId="7EC2114C">
      <w:pPr>
        <w:pStyle w:val="9"/>
        <w:rPr>
          <w:rFonts w:hint="eastAsia" w:eastAsia="宋体"/>
          <w:lang w:val="en-US" w:eastAsia="zh-CN"/>
        </w:rPr>
      </w:pPr>
      <w:r>
        <w:rPr>
          <w:rFonts w:hint="eastAsia"/>
          <w:lang w:val="en-US" w:eastAsia="zh-CN"/>
        </w:rPr>
        <w:t>暂列金额的数值</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DE6EAF" w15:done="0"/>
  <w15:commentEx w15:paraId="7EC211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rFonts w:hint="eastAsia"/>
      </w:rPr>
      <w:t>鑫诚国际工程咨询有限公司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tabs>
        <w:tab w:val="center" w:pos="4153"/>
        <w:tab w:val="right" w:pos="8306"/>
      </w:tabs>
      <w:snapToGrid w:val="0"/>
      <w:rPr>
        <w:rFonts w:hint="eastAsia"/>
      </w:rPr>
    </w:pPr>
    <w:r>
      <w:rPr>
        <w:rFonts w:ascii="Tahoma" w:hAnsi="Tahoma"/>
        <w:sz w:val="18"/>
        <w:szCs w:val="18"/>
      </w:rPr>
      <mc:AlternateContent>
        <mc:Choice Requires="wps">
          <w:drawing>
            <wp:anchor distT="0" distB="0" distL="114300" distR="114300" simplePos="0" relativeHeight="251662336" behindDoc="0" locked="0" layoutInCell="1" allowOverlap="1">
              <wp:simplePos x="0" y="0"/>
              <wp:positionH relativeFrom="margin">
                <wp:posOffset>4994910</wp:posOffset>
              </wp:positionH>
              <wp:positionV relativeFrom="paragraph">
                <wp:posOffset>-8890</wp:posOffset>
              </wp:positionV>
              <wp:extent cx="1028700" cy="198755"/>
              <wp:effectExtent l="0" t="0" r="0" b="0"/>
              <wp:wrapNone/>
              <wp:docPr id="74" name="矩形 9"/>
              <wp:cNvGraphicFramePr/>
              <a:graphic xmlns:a="http://schemas.openxmlformats.org/drawingml/2006/main">
                <a:graphicData uri="http://schemas.microsoft.com/office/word/2010/wordprocessingShape">
                  <wps:wsp>
                    <wps:cNvSpPr/>
                    <wps:spPr>
                      <a:xfrm>
                        <a:off x="0" y="0"/>
                        <a:ext cx="1028700" cy="198755"/>
                      </a:xfrm>
                      <a:prstGeom prst="rect">
                        <a:avLst/>
                      </a:prstGeom>
                      <a:noFill/>
                      <a:ln>
                        <a:noFill/>
                      </a:ln>
                    </wps:spPr>
                    <wps:txbx>
                      <w:txbxContent>
                        <w:p>
                          <w:pPr>
                            <w:tabs>
                              <w:tab w:val="center" w:pos="4153"/>
                              <w:tab w:val="right" w:pos="8306"/>
                            </w:tabs>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第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37</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 xml:space="preserve"> 页</w:t>
                          </w:r>
                        </w:p>
                      </w:txbxContent>
                    </wps:txbx>
                    <wps:bodyPr wrap="none" lIns="0" tIns="0" rIns="0" bIns="0" upright="1">
                      <a:spAutoFit/>
                    </wps:bodyPr>
                  </wps:wsp>
                </a:graphicData>
              </a:graphic>
            </wp:anchor>
          </w:drawing>
        </mc:Choice>
        <mc:Fallback>
          <w:pict>
            <v:rect id="矩形 9" o:spid="_x0000_s1026" o:spt="1" style="position:absolute;left:0pt;margin-left:393.3pt;margin-top:-0.7pt;height:15.65pt;width:81pt;mso-position-horizontal-relative:margin;mso-wrap-style:none;z-index:251662336;mso-width-relative:page;mso-height-relative:page;" filled="f" stroked="f" coordsize="21600,21600" o:gfxdata="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3HTPM1wAAAAkB&#10;AAAPAAAAAAAAAAEAIAAAACIAAABkcnMvZG93bnJldi54bWxQSwECFAAUAAAACACHTuJAZZUoT6oB&#10;AAA+AwAADgAAAAAAAAABACAAAAAmAQAAZHJzL2Uyb0RvYy54bWxQSwUGAAAAAAYABgBZAQAAQgUA&#10;AAAA&#10;">
              <v:fill on="f" focussize="0,0"/>
              <v:stroke on="f"/>
              <v:imagedata o:title=""/>
              <o:lock v:ext="edit" aspectratio="f"/>
              <v:textbox inset="0mm,0mm,0mm,0mm" style="mso-fit-shape-to-text:t;">
                <w:txbxContent>
                  <w:p>
                    <w:pPr>
                      <w:tabs>
                        <w:tab w:val="center" w:pos="4153"/>
                        <w:tab w:val="right" w:pos="8306"/>
                      </w:tabs>
                      <w:snapToGrid w:val="0"/>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 xml:space="preserve">第 </w:t>
                    </w:r>
                    <w:r>
                      <w:rPr>
                        <w:rFonts w:hint="eastAsia" w:ascii="仿宋_GB2312" w:hAnsi="仿宋_GB2312" w:eastAsia="仿宋_GB2312" w:cs="仿宋_GB2312"/>
                        <w:sz w:val="18"/>
                        <w:szCs w:val="18"/>
                      </w:rPr>
                      <w:fldChar w:fldCharType="begin"/>
                    </w:r>
                    <w:r>
                      <w:rPr>
                        <w:rFonts w:hint="eastAsia" w:ascii="仿宋_GB2312" w:hAnsi="仿宋_GB2312" w:eastAsia="仿宋_GB2312" w:cs="仿宋_GB2312"/>
                        <w:sz w:val="18"/>
                        <w:szCs w:val="18"/>
                      </w:rPr>
                      <w:instrText xml:space="preserve"> PAGE  \* MERGEFORMAT </w:instrText>
                    </w:r>
                    <w:r>
                      <w:rPr>
                        <w:rFonts w:hint="eastAsia" w:ascii="仿宋_GB2312" w:hAnsi="仿宋_GB2312" w:eastAsia="仿宋_GB2312" w:cs="仿宋_GB2312"/>
                        <w:sz w:val="18"/>
                        <w:szCs w:val="18"/>
                      </w:rPr>
                      <w:fldChar w:fldCharType="separate"/>
                    </w:r>
                    <w:r>
                      <w:rPr>
                        <w:rFonts w:ascii="仿宋_GB2312" w:hAnsi="仿宋_GB2312" w:eastAsia="仿宋_GB2312" w:cs="仿宋_GB2312"/>
                        <w:sz w:val="18"/>
                        <w:szCs w:val="18"/>
                      </w:rPr>
                      <w:t>37</w:t>
                    </w:r>
                    <w:r>
                      <w:rPr>
                        <w:rFonts w:hint="eastAsia" w:ascii="仿宋_GB2312" w:hAnsi="仿宋_GB2312" w:eastAsia="仿宋_GB2312" w:cs="仿宋_GB2312"/>
                        <w:sz w:val="18"/>
                        <w:szCs w:val="18"/>
                      </w:rPr>
                      <w:fldChar w:fldCharType="end"/>
                    </w:r>
                    <w:r>
                      <w:rPr>
                        <w:rFonts w:hint="eastAsia" w:ascii="仿宋_GB2312" w:hAnsi="仿宋_GB2312" w:eastAsia="仿宋_GB2312" w:cs="仿宋_GB2312"/>
                        <w:sz w:val="18"/>
                        <w:szCs w:val="18"/>
                      </w:rPr>
                      <w:t xml:space="preserve"> 页</w:t>
                    </w:r>
                  </w:p>
                </w:txbxContent>
              </v:textbox>
            </v:rect>
          </w:pict>
        </mc:Fallback>
      </mc:AlternateContent>
    </w:r>
    <w:r>
      <w:rPr>
        <w:rFonts w:hint="eastAsia" w:ascii="仿宋_GB2312" w:eastAsia="仿宋_GB2312"/>
        <w:sz w:val="18"/>
        <w:szCs w:val="18"/>
      </w:rPr>
      <w:t>鑫诚国际工程咨询有限公司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tabs>
        <w:tab w:val="center" w:pos="4153"/>
        <w:tab w:val="right" w:pos="8306"/>
      </w:tabs>
      <w:snapToGrid w:val="0"/>
      <w:rPr>
        <w:rFonts w:hint="eastAsia" w:eastAsia="仿宋_GB2312"/>
        <w:sz w:val="18"/>
        <w:szCs w:val="18"/>
      </w:rPr>
    </w:pPr>
    <w:r>
      <w:rPr>
        <w:rFonts w:ascii="Tahoma" w:hAnsi="Tahoma"/>
        <w:sz w:val="18"/>
        <w:szCs w:val="18"/>
      </w:rPr>
      <mc:AlternateContent>
        <mc:Choice Requires="wps">
          <w:drawing>
            <wp:anchor distT="0" distB="0" distL="114300" distR="114300" simplePos="0" relativeHeight="251661312" behindDoc="0" locked="0" layoutInCell="1" allowOverlap="1">
              <wp:simplePos x="0" y="0"/>
              <wp:positionH relativeFrom="margin">
                <wp:posOffset>5050155</wp:posOffset>
              </wp:positionH>
              <wp:positionV relativeFrom="paragraph">
                <wp:posOffset>-21590</wp:posOffset>
              </wp:positionV>
              <wp:extent cx="642620" cy="137160"/>
              <wp:effectExtent l="0" t="0" r="0" b="0"/>
              <wp:wrapNone/>
              <wp:docPr id="73" name="矩形 9"/>
              <wp:cNvGraphicFramePr/>
              <a:graphic xmlns:a="http://schemas.openxmlformats.org/drawingml/2006/main">
                <a:graphicData uri="http://schemas.microsoft.com/office/word/2010/wordprocessingShape">
                  <wps:wsp>
                    <wps:cNvSpPr/>
                    <wps:spPr>
                      <a:xfrm>
                        <a:off x="0" y="0"/>
                        <a:ext cx="642620" cy="137160"/>
                      </a:xfrm>
                      <a:prstGeom prst="rect">
                        <a:avLst/>
                      </a:prstGeom>
                      <a:noFill/>
                      <a:ln>
                        <a:noFill/>
                      </a:ln>
                    </wps:spPr>
                    <wps:txbx>
                      <w:txbxContent>
                        <w:p>
                          <w:pPr>
                            <w:tabs>
                              <w:tab w:val="center" w:pos="4153"/>
                              <w:tab w:val="right" w:pos="8306"/>
                            </w:tabs>
                            <w:snapToGrid w:val="0"/>
                            <w:rPr>
                              <w:rFonts w:hint="eastAsia" w:ascii="仿宋_GB2312" w:hAnsi="仿宋_GB2312" w:eastAsia="仿宋_GB2312" w:cs="仿宋_GB2312"/>
                              <w:sz w:val="18"/>
                            </w:rPr>
                          </w:pPr>
                          <w:r>
                            <w:rPr>
                              <w:rFonts w:hint="eastAsia" w:ascii="仿宋_GB2312" w:hAnsi="仿宋_GB2312" w:eastAsia="仿宋_GB2312" w:cs="仿宋_GB2312"/>
                              <w:sz w:val="18"/>
                            </w:rPr>
                            <w:t xml:space="preserve">第 </w:t>
                          </w: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ascii="仿宋_GB2312" w:hAnsi="仿宋_GB2312" w:eastAsia="仿宋_GB2312" w:cs="仿宋_GB2312"/>
                              <w:sz w:val="18"/>
                            </w:rPr>
                            <w:t>1</w:t>
                          </w:r>
                          <w:r>
                            <w:rPr>
                              <w:rFonts w:hint="eastAsia" w:ascii="仿宋_GB2312" w:hAnsi="仿宋_GB2312" w:eastAsia="仿宋_GB2312" w:cs="仿宋_GB2312"/>
                              <w:sz w:val="18"/>
                            </w:rPr>
                            <w:fldChar w:fldCharType="end"/>
                          </w:r>
                          <w:r>
                            <w:rPr>
                              <w:rFonts w:hint="eastAsia" w:ascii="仿宋_GB2312" w:hAnsi="仿宋_GB2312" w:eastAsia="仿宋_GB2312" w:cs="仿宋_GB2312"/>
                              <w:sz w:val="18"/>
                            </w:rPr>
                            <w:t xml:space="preserve"> 页</w:t>
                          </w:r>
                        </w:p>
                      </w:txbxContent>
                    </wps:txbx>
                    <wps:bodyPr wrap="square" lIns="0" tIns="0" rIns="0" bIns="0" upright="1"/>
                  </wps:wsp>
                </a:graphicData>
              </a:graphic>
            </wp:anchor>
          </w:drawing>
        </mc:Choice>
        <mc:Fallback>
          <w:pict>
            <v:rect id="矩形 9" o:spid="_x0000_s1026" o:spt="1" style="position:absolute;left:0pt;margin-left:397.65pt;margin-top:-1.7pt;height:10.8pt;width:50.6pt;mso-position-horizontal-relative:margin;z-index:251661312;mso-width-relative:page;mso-height-relative:page;" filled="f" stroked="f" coordsize="21600,21600" o:gfxdata="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O5YctoAAAAJAQAADwAAAAAA&#10;AAABACAAAAAiAAAAZHJzL2Rvd25yZXYueG1sUEsBAhQAFAAAAAgAh07iQC8T0fafAQAAJQMAAA4A&#10;AAAAAAAAAQAgAAAAKQEAAGRycy9lMm9Eb2MueG1sUEsFBgAAAAAGAAYAWQEAADoFAAAAAA==&#10;">
              <v:fill on="f" focussize="0,0"/>
              <v:stroke on="f"/>
              <v:imagedata o:title=""/>
              <o:lock v:ext="edit" aspectratio="f"/>
              <v:textbox inset="0mm,0mm,0mm,0mm">
                <w:txbxContent>
                  <w:p>
                    <w:pPr>
                      <w:tabs>
                        <w:tab w:val="center" w:pos="4153"/>
                        <w:tab w:val="right" w:pos="8306"/>
                      </w:tabs>
                      <w:snapToGrid w:val="0"/>
                      <w:rPr>
                        <w:rFonts w:hint="eastAsia" w:ascii="仿宋_GB2312" w:hAnsi="仿宋_GB2312" w:eastAsia="仿宋_GB2312" w:cs="仿宋_GB2312"/>
                        <w:sz w:val="18"/>
                      </w:rPr>
                    </w:pPr>
                    <w:r>
                      <w:rPr>
                        <w:rFonts w:hint="eastAsia" w:ascii="仿宋_GB2312" w:hAnsi="仿宋_GB2312" w:eastAsia="仿宋_GB2312" w:cs="仿宋_GB2312"/>
                        <w:sz w:val="18"/>
                      </w:rPr>
                      <w:t xml:space="preserve">第 </w:t>
                    </w: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ascii="仿宋_GB2312" w:hAnsi="仿宋_GB2312" w:eastAsia="仿宋_GB2312" w:cs="仿宋_GB2312"/>
                        <w:sz w:val="18"/>
                      </w:rPr>
                      <w:t>1</w:t>
                    </w:r>
                    <w:r>
                      <w:rPr>
                        <w:rFonts w:hint="eastAsia" w:ascii="仿宋_GB2312" w:hAnsi="仿宋_GB2312" w:eastAsia="仿宋_GB2312" w:cs="仿宋_GB2312"/>
                        <w:sz w:val="18"/>
                      </w:rPr>
                      <w:fldChar w:fldCharType="end"/>
                    </w:r>
                    <w:r>
                      <w:rPr>
                        <w:rFonts w:hint="eastAsia" w:ascii="仿宋_GB2312" w:hAnsi="仿宋_GB2312" w:eastAsia="仿宋_GB2312" w:cs="仿宋_GB2312"/>
                        <w:sz w:val="18"/>
                      </w:rPr>
                      <w:t xml:space="preserve"> 页</w:t>
                    </w:r>
                  </w:p>
                </w:txbxContent>
              </v:textbox>
            </v:rect>
          </w:pict>
        </mc:Fallback>
      </mc:AlternateContent>
    </w:r>
    <w:r>
      <w:rPr>
        <w:rFonts w:hint="eastAsia" w:ascii="仿宋_GB2312" w:eastAsia="仿宋_GB2312"/>
        <w:sz w:val="18"/>
        <w:szCs w:val="18"/>
      </w:rPr>
      <mc:AlternateContent>
        <mc:Choice Requires="wps">
          <w:drawing>
            <wp:anchor distT="0" distB="0" distL="114300" distR="114300" simplePos="0" relativeHeight="251660288" behindDoc="0" locked="0" layoutInCell="1" allowOverlap="1">
              <wp:simplePos x="0" y="0"/>
              <wp:positionH relativeFrom="column">
                <wp:posOffset>2828290</wp:posOffset>
              </wp:positionH>
              <wp:positionV relativeFrom="paragraph">
                <wp:posOffset>849630</wp:posOffset>
              </wp:positionV>
              <wp:extent cx="5619750" cy="635"/>
              <wp:effectExtent l="0" t="0" r="0" b="0"/>
              <wp:wrapNone/>
              <wp:docPr id="72" name="直线 4"/>
              <wp:cNvGraphicFramePr/>
              <a:graphic xmlns:a="http://schemas.openxmlformats.org/drawingml/2006/main">
                <a:graphicData uri="http://schemas.microsoft.com/office/word/2010/wordprocessingShape">
                  <wps:wsp>
                    <wps:cNvCnPr/>
                    <wps:spPr>
                      <a:xfrm>
                        <a:off x="0" y="0"/>
                        <a:ext cx="561975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4" o:spid="_x0000_s1026" o:spt="20" style="position:absolute;left:0pt;margin-left:222.7pt;margin-top:66.9pt;height:0.05pt;width:442.5pt;z-index:251660288;mso-width-relative:page;mso-height-relative:page;" filled="f" stroked="t" coordsize="21600,21600" o:gfxdata="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tGXONUAAAAMAQAADwAAAAAAAAABACAAAAAi&#10;AAAAZHJzL2Rvd25yZXYueG1sUEsBAhQAFAAAAAgAh07iQDIdXR3UAQAAkQMAAA4AAAAAAAAAAQAg&#10;AAAAJAEAAGRycy9lMm9Eb2MueG1sUEsFBgAAAAAGAAYAWQEAAGoFAAAAAA==&#10;">
              <v:fill on="f" focussize="0,0"/>
              <v:stroke weight="1.25pt" color="#739CC3" joinstyle="round"/>
              <v:imagedata o:title=""/>
              <o:lock v:ext="edit" aspectratio="f"/>
            </v:line>
          </w:pict>
        </mc:Fallback>
      </mc:AlternateContent>
    </w:r>
    <w:r>
      <w:rPr>
        <w:rFonts w:hint="eastAsia" w:ascii="仿宋_GB2312" w:eastAsia="仿宋_GB2312"/>
        <w:sz w:val="18"/>
        <w:szCs w:val="18"/>
      </w:rPr>
      <w:t>鑫诚国际工程咨询有限公司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4" w:space="1"/>
      </w:pBdr>
      <w:tabs>
        <w:tab w:val="center" w:pos="4153"/>
        <w:tab w:val="right" w:pos="8306"/>
      </w:tabs>
      <w:snapToGrid w:val="0"/>
      <w:rPr>
        <w:rFonts w:hint="eastAsia" w:ascii="仿宋_GB2312" w:eastAsia="仿宋_GB2312"/>
        <w:sz w:val="18"/>
        <w:szCs w:val="18"/>
      </w:rPr>
    </w:pPr>
    <w:r>
      <w:rPr>
        <w:rFonts w:ascii="Tahoma" w:hAnsi="Tahoma"/>
        <w:sz w:val="18"/>
        <w:szCs w:val="18"/>
      </w:rPr>
      <mc:AlternateContent>
        <mc:Choice Requires="wps">
          <w:drawing>
            <wp:anchor distT="0" distB="0" distL="114300" distR="114300" simplePos="0" relativeHeight="251659264" behindDoc="0" locked="0" layoutInCell="1" allowOverlap="1">
              <wp:simplePos x="0" y="0"/>
              <wp:positionH relativeFrom="margin">
                <wp:posOffset>4989195</wp:posOffset>
              </wp:positionH>
              <wp:positionV relativeFrom="paragraph">
                <wp:posOffset>8890</wp:posOffset>
              </wp:positionV>
              <wp:extent cx="1028700" cy="198755"/>
              <wp:effectExtent l="0" t="0" r="0" b="0"/>
              <wp:wrapNone/>
              <wp:docPr id="71" name="矩形 9"/>
              <wp:cNvGraphicFramePr/>
              <a:graphic xmlns:a="http://schemas.openxmlformats.org/drawingml/2006/main">
                <a:graphicData uri="http://schemas.microsoft.com/office/word/2010/wordprocessingShape">
                  <wps:wsp>
                    <wps:cNvSpPr/>
                    <wps:spPr>
                      <a:xfrm>
                        <a:off x="0" y="0"/>
                        <a:ext cx="1028700" cy="198755"/>
                      </a:xfrm>
                      <a:prstGeom prst="rect">
                        <a:avLst/>
                      </a:prstGeom>
                      <a:noFill/>
                      <a:ln>
                        <a:noFill/>
                      </a:ln>
                    </wps:spPr>
                    <wps:txbx>
                      <w:txbxContent>
                        <w:p>
                          <w:pPr>
                            <w:tabs>
                              <w:tab w:val="center" w:pos="4153"/>
                              <w:tab w:val="right" w:pos="8306"/>
                            </w:tabs>
                            <w:snapToGrid w:val="0"/>
                            <w:rPr>
                              <w:rFonts w:hint="eastAsia" w:ascii="仿宋_GB2312" w:hAnsi="仿宋_GB2312" w:eastAsia="仿宋_GB2312" w:cs="仿宋_GB2312"/>
                              <w:sz w:val="18"/>
                            </w:rPr>
                          </w:pPr>
                          <w:r>
                            <w:rPr>
                              <w:rFonts w:hint="eastAsia" w:ascii="仿宋_GB2312" w:hAnsi="仿宋_GB2312" w:eastAsia="仿宋_GB2312" w:cs="仿宋_GB2312"/>
                              <w:sz w:val="18"/>
                            </w:rPr>
                            <w:t xml:space="preserve">第 </w:t>
                          </w: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ascii="仿宋_GB2312" w:hAnsi="仿宋_GB2312" w:eastAsia="仿宋_GB2312" w:cs="仿宋_GB2312"/>
                              <w:sz w:val="18"/>
                            </w:rPr>
                            <w:t>137</w:t>
                          </w:r>
                          <w:r>
                            <w:rPr>
                              <w:rFonts w:hint="eastAsia" w:ascii="仿宋_GB2312" w:hAnsi="仿宋_GB2312" w:eastAsia="仿宋_GB2312" w:cs="仿宋_GB2312"/>
                              <w:sz w:val="18"/>
                            </w:rPr>
                            <w:fldChar w:fldCharType="end"/>
                          </w:r>
                          <w:r>
                            <w:rPr>
                              <w:rFonts w:hint="eastAsia" w:ascii="仿宋_GB2312" w:hAnsi="仿宋_GB2312" w:eastAsia="仿宋_GB2312" w:cs="仿宋_GB2312"/>
                              <w:sz w:val="18"/>
                            </w:rPr>
                            <w:t xml:space="preserve"> 页</w:t>
                          </w:r>
                        </w:p>
                      </w:txbxContent>
                    </wps:txbx>
                    <wps:bodyPr wrap="none" lIns="0" tIns="0" rIns="0" bIns="0" upright="1">
                      <a:spAutoFit/>
                    </wps:bodyPr>
                  </wps:wsp>
                </a:graphicData>
              </a:graphic>
            </wp:anchor>
          </w:drawing>
        </mc:Choice>
        <mc:Fallback>
          <w:pict>
            <v:rect id="矩形 9" o:spid="_x0000_s1026" o:spt="1" style="position:absolute;left:0pt;margin-left:392.85pt;margin-top:0.7pt;height:15.65pt;width:81pt;mso-position-horizontal-relative:margin;mso-wrap-style:none;z-index:251659264;mso-width-relative:page;mso-height-relative:page;" filled="f" stroked="f" coordsize="21600,21600" o:gfxdata="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GghTd9UAAAAIAQAA&#10;DwAAAAAAAAABACAAAAAiAAAAZHJzL2Rvd25yZXYueG1sUEsBAhQAFAAAAAgAh07iQNgipJuqAQAA&#10;PgMAAA4AAAAAAAAAAQAgAAAAJAEAAGRycy9lMm9Eb2MueG1sUEsFBgAAAAAGAAYAWQEAAEAFAAAA&#10;AA==&#10;">
              <v:fill on="f" focussize="0,0"/>
              <v:stroke on="f"/>
              <v:imagedata o:title=""/>
              <o:lock v:ext="edit" aspectratio="f"/>
              <v:textbox inset="0mm,0mm,0mm,0mm" style="mso-fit-shape-to-text:t;">
                <w:txbxContent>
                  <w:p>
                    <w:pPr>
                      <w:tabs>
                        <w:tab w:val="center" w:pos="4153"/>
                        <w:tab w:val="right" w:pos="8306"/>
                      </w:tabs>
                      <w:snapToGrid w:val="0"/>
                      <w:rPr>
                        <w:rFonts w:hint="eastAsia" w:ascii="仿宋_GB2312" w:hAnsi="仿宋_GB2312" w:eastAsia="仿宋_GB2312" w:cs="仿宋_GB2312"/>
                        <w:sz w:val="18"/>
                      </w:rPr>
                    </w:pPr>
                    <w:r>
                      <w:rPr>
                        <w:rFonts w:hint="eastAsia" w:ascii="仿宋_GB2312" w:hAnsi="仿宋_GB2312" w:eastAsia="仿宋_GB2312" w:cs="仿宋_GB2312"/>
                        <w:sz w:val="18"/>
                      </w:rPr>
                      <w:t xml:space="preserve">第 </w:t>
                    </w:r>
                    <w:r>
                      <w:rPr>
                        <w:rFonts w:hint="eastAsia" w:ascii="仿宋_GB2312" w:hAnsi="仿宋_GB2312" w:eastAsia="仿宋_GB2312" w:cs="仿宋_GB2312"/>
                        <w:sz w:val="18"/>
                      </w:rPr>
                      <w:fldChar w:fldCharType="begin"/>
                    </w:r>
                    <w:r>
                      <w:rPr>
                        <w:rFonts w:hint="eastAsia" w:ascii="仿宋_GB2312" w:hAnsi="仿宋_GB2312" w:eastAsia="仿宋_GB2312" w:cs="仿宋_GB2312"/>
                        <w:sz w:val="18"/>
                      </w:rPr>
                      <w:instrText xml:space="preserve"> PAGE  \* MERGEFORMAT </w:instrText>
                    </w:r>
                    <w:r>
                      <w:rPr>
                        <w:rFonts w:hint="eastAsia" w:ascii="仿宋_GB2312" w:hAnsi="仿宋_GB2312" w:eastAsia="仿宋_GB2312" w:cs="仿宋_GB2312"/>
                        <w:sz w:val="18"/>
                      </w:rPr>
                      <w:fldChar w:fldCharType="separate"/>
                    </w:r>
                    <w:r>
                      <w:rPr>
                        <w:rFonts w:ascii="仿宋_GB2312" w:hAnsi="仿宋_GB2312" w:eastAsia="仿宋_GB2312" w:cs="仿宋_GB2312"/>
                        <w:sz w:val="18"/>
                      </w:rPr>
                      <w:t>137</w:t>
                    </w:r>
                    <w:r>
                      <w:rPr>
                        <w:rFonts w:hint="eastAsia" w:ascii="仿宋_GB2312" w:hAnsi="仿宋_GB2312" w:eastAsia="仿宋_GB2312" w:cs="仿宋_GB2312"/>
                        <w:sz w:val="18"/>
                      </w:rPr>
                      <w:fldChar w:fldCharType="end"/>
                    </w:r>
                    <w:r>
                      <w:rPr>
                        <w:rFonts w:hint="eastAsia" w:ascii="仿宋_GB2312" w:hAnsi="仿宋_GB2312" w:eastAsia="仿宋_GB2312" w:cs="仿宋_GB2312"/>
                        <w:sz w:val="18"/>
                      </w:rPr>
                      <w:t xml:space="preserve"> 页</w:t>
                    </w:r>
                  </w:p>
                </w:txbxContent>
              </v:textbox>
            </v:rect>
          </w:pict>
        </mc:Fallback>
      </mc:AlternateContent>
    </w:r>
    <w:r>
      <w:rPr>
        <w:rFonts w:hint="eastAsia" w:ascii="仿宋_GB2312" w:eastAsia="仿宋_GB2312"/>
        <w:sz w:val="18"/>
        <w:szCs w:val="18"/>
      </w:rPr>
      <mc:AlternateContent>
        <mc:Choice Requires="wps">
          <w:drawing>
            <wp:anchor distT="0" distB="0" distL="114300" distR="114300" simplePos="0" relativeHeight="251658240" behindDoc="0" locked="0" layoutInCell="1" allowOverlap="1">
              <wp:simplePos x="0" y="0"/>
              <wp:positionH relativeFrom="column">
                <wp:posOffset>2828290</wp:posOffset>
              </wp:positionH>
              <wp:positionV relativeFrom="paragraph">
                <wp:posOffset>10976610</wp:posOffset>
              </wp:positionV>
              <wp:extent cx="5619750" cy="635"/>
              <wp:effectExtent l="0" t="0" r="0" b="0"/>
              <wp:wrapNone/>
              <wp:docPr id="70" name="直线 4"/>
              <wp:cNvGraphicFramePr/>
              <a:graphic xmlns:a="http://schemas.openxmlformats.org/drawingml/2006/main">
                <a:graphicData uri="http://schemas.microsoft.com/office/word/2010/wordprocessingShape">
                  <wps:wsp>
                    <wps:cNvCnPr/>
                    <wps:spPr>
                      <a:xfrm>
                        <a:off x="0" y="0"/>
                        <a:ext cx="5619750" cy="63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4" o:spid="_x0000_s1026" o:spt="20" style="position:absolute;left:0pt;margin-left:222.7pt;margin-top:864.3pt;height:0.05pt;width:442.5pt;z-index:251658240;mso-width-relative:page;mso-height-relative:page;" filled="f" stroked="t" coordsize="21600,21600" o:gfxdata="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vJfM01wAAAA4BAAAPAAAAAAAAAAEAIAAA&#10;ACIAAABkcnMvZG93bnJldi54bWxQSwECFAAUAAAACACHTuJASljXAdQBAACRAwAADgAAAAAAAAAB&#10;ACAAAAAmAQAAZHJzL2Uyb0RvYy54bWxQSwUGAAAAAAYABgBZAQAAbAUAAAAA&#10;">
              <v:fill on="f" focussize="0,0"/>
              <v:stroke weight="1.25pt" color="#739CC3" joinstyle="round"/>
              <v:imagedata o:title=""/>
              <o:lock v:ext="edit" aspectratio="f"/>
            </v:line>
          </w:pict>
        </mc:Fallback>
      </mc:AlternateContent>
    </w:r>
    <w:r>
      <w:rPr>
        <w:rFonts w:hint="eastAsia" w:ascii="仿宋_GB2312" w:eastAsia="仿宋_GB2312"/>
        <w:sz w:val="18"/>
        <w:szCs w:val="18"/>
      </w:rPr>
      <w:t>鑫诚国际工程咨询有限公司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4" w:space="0"/>
      </w:pBdr>
      <w:tabs>
        <w:tab w:val="center" w:pos="4153"/>
        <w:tab w:val="right" w:pos="8306"/>
      </w:tabs>
      <w:snapToGrid w:val="0"/>
      <w:rPr>
        <w:rFonts w:hint="eastAsia" w:ascii="仿宋_GB2312" w:hAnsi="Calibri" w:eastAsia="仿宋_GB2312"/>
        <w:sz w:val="18"/>
      </w:rPr>
    </w:pPr>
    <w:r>
      <w:rPr>
        <w:rFonts w:hint="eastAsia" w:ascii="仿宋_GB2312" w:hAnsi="华文宋体" w:eastAsia="仿宋_GB2312"/>
        <w:sz w:val="18"/>
        <w:lang w:eastAsia="zh-CN"/>
      </w:rPr>
      <w:t>华北水利水电大学（花园校区）增容供配电工程项目</w:t>
    </w:r>
    <w:r>
      <w:rPr>
        <w:rFonts w:hint="eastAsia" w:ascii="仿宋_GB2312" w:hAnsi="华文宋体" w:eastAsia="仿宋_GB2312"/>
        <w:sz w:val="18"/>
      </w:rPr>
      <w:t xml:space="preserve">                                    </w:t>
    </w:r>
    <w:r>
      <w:rPr>
        <w:rFonts w:hint="eastAsia" w:ascii="仿宋_GB2312" w:eastAsia="仿宋_GB2312"/>
        <w:sz w:val="18"/>
      </w:rPr>
      <w:t xml:space="preserve">         </w:t>
    </w:r>
    <w:r>
      <w:rPr>
        <w:rFonts w:hint="eastAsia" w:ascii="仿宋_GB2312" w:eastAsia="仿宋_GB2312"/>
        <w:sz w:val="18"/>
        <w:lang w:val="en-US" w:eastAsia="zh-CN"/>
      </w:rPr>
      <w:t xml:space="preserve">        </w:t>
    </w:r>
    <w:r>
      <w:rPr>
        <w:rFonts w:hint="eastAsia" w:ascii="仿宋_GB2312" w:eastAsia="仿宋_GB2312"/>
        <w:sz w:val="18"/>
      </w:rPr>
      <w:t>招标文件</w:t>
    </w:r>
  </w:p>
  <w:p>
    <w:pPr>
      <w:snapToGri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single" w:color="auto" w:sz="4" w:space="1"/>
        <w:right w:val="none" w:color="auto" w:sz="0" w:space="4"/>
      </w:pBdr>
      <w:jc w:val="both"/>
    </w:pPr>
    <w:r>
      <w:rPr>
        <w:rFonts w:hint="eastAsia" w:ascii="仿宋_GB2312" w:hAnsi="华文宋体" w:eastAsia="仿宋_GB2312"/>
        <w:lang w:eastAsia="zh-CN"/>
      </w:rPr>
      <w:t>华北水利水电大学（花园校区）增容供配电工程项目</w:t>
    </w:r>
    <w:r>
      <w:rPr>
        <w:rFonts w:hint="eastAsia" w:ascii="仿宋_GB2312" w:hAnsi="华文宋体" w:eastAsia="仿宋_GB2312"/>
      </w:rPr>
      <w:t xml:space="preserve"> </w:t>
    </w: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tabs>
        <w:tab w:val="center" w:pos="4153"/>
        <w:tab w:val="right" w:pos="8306"/>
      </w:tabs>
      <w:snapToGrid w:val="0"/>
      <w:ind w:right="-22"/>
      <w:rPr>
        <w:rFonts w:hint="eastAsia" w:ascii="仿宋_GB2312" w:hAnsi="Calibri" w:eastAsia="仿宋_GB2312"/>
      </w:rPr>
    </w:pPr>
    <w:r>
      <w:rPr>
        <w:rFonts w:hint="eastAsia" w:ascii="仿宋_GB2312" w:hAnsi="华文宋体" w:eastAsia="仿宋_GB2312"/>
        <w:sz w:val="18"/>
        <w:lang w:eastAsia="zh-CN"/>
      </w:rPr>
      <w:t>华北水利水电大学（花园校区）增容供配电工程项目</w:t>
    </w:r>
    <w:r>
      <w:rPr>
        <w:rFonts w:hint="eastAsia" w:ascii="仿宋_GB2312" w:hAnsi="华文宋体" w:eastAsia="仿宋_GB2312"/>
        <w:sz w:val="18"/>
      </w:rPr>
      <w:t xml:space="preserve">                                           </w:t>
    </w:r>
    <w:r>
      <w:rPr>
        <w:rFonts w:hint="eastAsia" w:ascii="仿宋_GB2312" w:hAnsi="华文宋体" w:eastAsia="仿宋_GB2312"/>
        <w:sz w:val="18"/>
        <w:lang w:val="en-US" w:eastAsia="zh-CN"/>
      </w:rPr>
      <w:t xml:space="preserve">        </w:t>
    </w:r>
    <w:r>
      <w:rPr>
        <w:rFonts w:hint="eastAsia" w:ascii="仿宋_GB2312" w:hAnsi="华文宋体" w:eastAsia="仿宋_GB2312"/>
        <w:sz w:val="18"/>
      </w:rPr>
      <w:t xml:space="preserve">  </w:t>
    </w:r>
    <w:r>
      <w:rPr>
        <w:rFonts w:hint="eastAsia" w:ascii="仿宋_GB2312" w:eastAsia="仿宋_GB2312"/>
        <w:sz w:val="18"/>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3B9A8"/>
    <w:multiLevelType w:val="singleLevel"/>
    <w:tmpl w:val="8B73B9A8"/>
    <w:lvl w:ilvl="0" w:tentative="0">
      <w:start w:val="7"/>
      <w:numFmt w:val="chineseCounting"/>
      <w:suff w:val="space"/>
      <w:lvlText w:val="第%1章"/>
      <w:lvlJc w:val="left"/>
      <w:rPr>
        <w:rFonts w:hint="eastAsia"/>
      </w:rPr>
    </w:lvl>
  </w:abstractNum>
  <w:abstractNum w:abstractNumId="1">
    <w:nsid w:val="EBEF8308"/>
    <w:multiLevelType w:val="singleLevel"/>
    <w:tmpl w:val="EBEF8308"/>
    <w:lvl w:ilvl="0" w:tentative="0">
      <w:start w:val="1"/>
      <w:numFmt w:val="decimal"/>
      <w:suff w:val="space"/>
      <w:lvlText w:val="%1."/>
      <w:lvlJc w:val="left"/>
    </w:lvl>
  </w:abstractNum>
  <w:abstractNum w:abstractNumId="2">
    <w:nsid w:val="00000008"/>
    <w:multiLevelType w:val="singleLevel"/>
    <w:tmpl w:val="00000008"/>
    <w:lvl w:ilvl="0" w:tentative="0">
      <w:start w:val="1"/>
      <w:numFmt w:val="chineseCounting"/>
      <w:suff w:val="nothing"/>
      <w:lvlText w:val="（%1）"/>
      <w:lvlJc w:val="left"/>
      <w:pPr>
        <w:ind w:left="0" w:firstLine="0"/>
      </w:pPr>
      <w:rPr>
        <w:rFonts w:hint="default" w:ascii="宋体" w:hAnsi="宋体"/>
        <w:w w:val="100"/>
      </w:rPr>
    </w:lvl>
  </w:abstractNum>
  <w:abstractNum w:abstractNumId="3">
    <w:nsid w:val="092C571C"/>
    <w:multiLevelType w:val="singleLevel"/>
    <w:tmpl w:val="092C571C"/>
    <w:lvl w:ilvl="0" w:tentative="0">
      <w:start w:val="1"/>
      <w:numFmt w:val="chineseCounting"/>
      <w:suff w:val="nothing"/>
      <w:lvlText w:val="%1、"/>
      <w:lvlJc w:val="left"/>
      <w:rPr>
        <w:rFonts w:hint="eastAsia"/>
      </w:rPr>
    </w:lvl>
  </w:abstractNum>
  <w:abstractNum w:abstractNumId="4">
    <w:nsid w:val="0DC90BA7"/>
    <w:multiLevelType w:val="multilevel"/>
    <w:tmpl w:val="0DC90BA7"/>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F7F7766"/>
    <w:multiLevelType w:val="singleLevel"/>
    <w:tmpl w:val="0F7F7766"/>
    <w:lvl w:ilvl="0" w:tentative="0">
      <w:start w:val="7"/>
      <w:numFmt w:val="chineseCounting"/>
      <w:suff w:val="nothing"/>
      <w:lvlText w:val="%1、"/>
      <w:lvlJc w:val="left"/>
      <w:rPr>
        <w:rFonts w:hint="eastAsia"/>
      </w:rPr>
    </w:lvl>
  </w:abstractNum>
  <w:abstractNum w:abstractNumId="6">
    <w:nsid w:val="6A8F00A8"/>
    <w:multiLevelType w:val="singleLevel"/>
    <w:tmpl w:val="6A8F00A8"/>
    <w:lvl w:ilvl="0" w:tentative="0">
      <w:start w:val="2"/>
      <w:numFmt w:val="decimal"/>
      <w:suff w:val="nothing"/>
      <w:lvlText w:val="%1、"/>
      <w:lvlJc w:val="left"/>
      <w:pPr>
        <w:ind w:left="480" w:leftChars="0" w:firstLine="0" w:firstLineChars="0"/>
      </w:pPr>
    </w:lvl>
  </w:abstractNum>
  <w:num w:numId="1">
    <w:abstractNumId w:val="1"/>
  </w:num>
  <w:num w:numId="2">
    <w:abstractNumId w:val="4"/>
  </w:num>
  <w:num w:numId="3">
    <w:abstractNumId w:val="0"/>
  </w:num>
  <w:num w:numId="4">
    <w:abstractNumId w:val="3"/>
  </w:num>
  <w:num w:numId="5">
    <w:abstractNumId w:val="2"/>
  </w:num>
  <w:num w:numId="6">
    <w:abstractNumId w:val="6"/>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425C"/>
    <w:rsid w:val="000B074D"/>
    <w:rsid w:val="000B42C3"/>
    <w:rsid w:val="000E2E55"/>
    <w:rsid w:val="00196643"/>
    <w:rsid w:val="001A6EA3"/>
    <w:rsid w:val="0022045E"/>
    <w:rsid w:val="00284F0A"/>
    <w:rsid w:val="002C0AFA"/>
    <w:rsid w:val="0030509E"/>
    <w:rsid w:val="003F7011"/>
    <w:rsid w:val="00477482"/>
    <w:rsid w:val="00516900"/>
    <w:rsid w:val="005C5A16"/>
    <w:rsid w:val="005D6E30"/>
    <w:rsid w:val="005E47FE"/>
    <w:rsid w:val="00697226"/>
    <w:rsid w:val="006A13D2"/>
    <w:rsid w:val="006F60B3"/>
    <w:rsid w:val="00727355"/>
    <w:rsid w:val="00797265"/>
    <w:rsid w:val="0080172D"/>
    <w:rsid w:val="008136B2"/>
    <w:rsid w:val="00842AF6"/>
    <w:rsid w:val="008925F2"/>
    <w:rsid w:val="008F470A"/>
    <w:rsid w:val="009654AC"/>
    <w:rsid w:val="009B4E2D"/>
    <w:rsid w:val="009F773D"/>
    <w:rsid w:val="00A205D6"/>
    <w:rsid w:val="00A604E8"/>
    <w:rsid w:val="00A71993"/>
    <w:rsid w:val="00B556C4"/>
    <w:rsid w:val="00BB7C01"/>
    <w:rsid w:val="00C879D2"/>
    <w:rsid w:val="00CA76ED"/>
    <w:rsid w:val="00CD37B9"/>
    <w:rsid w:val="00CD71F4"/>
    <w:rsid w:val="00DE7921"/>
    <w:rsid w:val="00E05C76"/>
    <w:rsid w:val="00EF0413"/>
    <w:rsid w:val="00F10509"/>
    <w:rsid w:val="00F45FC9"/>
    <w:rsid w:val="00FE6156"/>
    <w:rsid w:val="00FF5051"/>
    <w:rsid w:val="016B69CA"/>
    <w:rsid w:val="02641A38"/>
    <w:rsid w:val="029F6B68"/>
    <w:rsid w:val="02E748CE"/>
    <w:rsid w:val="04A039E5"/>
    <w:rsid w:val="05760AFA"/>
    <w:rsid w:val="05872534"/>
    <w:rsid w:val="05D35BBC"/>
    <w:rsid w:val="06B0444D"/>
    <w:rsid w:val="071D6A18"/>
    <w:rsid w:val="081D37E1"/>
    <w:rsid w:val="086551F3"/>
    <w:rsid w:val="08763BA8"/>
    <w:rsid w:val="093763D2"/>
    <w:rsid w:val="093F679B"/>
    <w:rsid w:val="098706C0"/>
    <w:rsid w:val="0AC06924"/>
    <w:rsid w:val="0AE463AF"/>
    <w:rsid w:val="0B413CA5"/>
    <w:rsid w:val="0C5C4E4A"/>
    <w:rsid w:val="0CE46915"/>
    <w:rsid w:val="0CF04469"/>
    <w:rsid w:val="0DAF1294"/>
    <w:rsid w:val="0DF05B3C"/>
    <w:rsid w:val="0EC73350"/>
    <w:rsid w:val="0F326144"/>
    <w:rsid w:val="0F3B356C"/>
    <w:rsid w:val="10286035"/>
    <w:rsid w:val="1050005C"/>
    <w:rsid w:val="108A01B6"/>
    <w:rsid w:val="10B2696C"/>
    <w:rsid w:val="10E06391"/>
    <w:rsid w:val="1122409A"/>
    <w:rsid w:val="113E7CF4"/>
    <w:rsid w:val="12001E1B"/>
    <w:rsid w:val="12311AA8"/>
    <w:rsid w:val="129869D1"/>
    <w:rsid w:val="13092D86"/>
    <w:rsid w:val="134E341A"/>
    <w:rsid w:val="14436279"/>
    <w:rsid w:val="14A505D3"/>
    <w:rsid w:val="14B60B7F"/>
    <w:rsid w:val="154977DD"/>
    <w:rsid w:val="15D53A9D"/>
    <w:rsid w:val="189A10D1"/>
    <w:rsid w:val="190B1905"/>
    <w:rsid w:val="192B4F54"/>
    <w:rsid w:val="19DE6435"/>
    <w:rsid w:val="19EF4CE4"/>
    <w:rsid w:val="1A301807"/>
    <w:rsid w:val="1A572A0A"/>
    <w:rsid w:val="1B00162A"/>
    <w:rsid w:val="1B3B7604"/>
    <w:rsid w:val="1B60635C"/>
    <w:rsid w:val="1BCB6E45"/>
    <w:rsid w:val="1BD92C66"/>
    <w:rsid w:val="1C82701B"/>
    <w:rsid w:val="1D307A05"/>
    <w:rsid w:val="1D5A480E"/>
    <w:rsid w:val="1DA3142A"/>
    <w:rsid w:val="1E467677"/>
    <w:rsid w:val="1E7B7698"/>
    <w:rsid w:val="1EBC0003"/>
    <w:rsid w:val="1F712839"/>
    <w:rsid w:val="1F797806"/>
    <w:rsid w:val="20941F77"/>
    <w:rsid w:val="21355905"/>
    <w:rsid w:val="217F5B14"/>
    <w:rsid w:val="2181568B"/>
    <w:rsid w:val="21E23D02"/>
    <w:rsid w:val="21F410A2"/>
    <w:rsid w:val="22BB4019"/>
    <w:rsid w:val="23166A83"/>
    <w:rsid w:val="2325225D"/>
    <w:rsid w:val="23F635D4"/>
    <w:rsid w:val="256F3777"/>
    <w:rsid w:val="258C5DD6"/>
    <w:rsid w:val="2642233F"/>
    <w:rsid w:val="265229E0"/>
    <w:rsid w:val="26B6199D"/>
    <w:rsid w:val="27095EFE"/>
    <w:rsid w:val="273D733E"/>
    <w:rsid w:val="284A1563"/>
    <w:rsid w:val="28887F18"/>
    <w:rsid w:val="28BF4BDF"/>
    <w:rsid w:val="29905E93"/>
    <w:rsid w:val="29981E52"/>
    <w:rsid w:val="29A87706"/>
    <w:rsid w:val="2A056293"/>
    <w:rsid w:val="2A481924"/>
    <w:rsid w:val="2B1A2B67"/>
    <w:rsid w:val="2B483806"/>
    <w:rsid w:val="2B5378EB"/>
    <w:rsid w:val="2B7E2A8B"/>
    <w:rsid w:val="2BB019D2"/>
    <w:rsid w:val="2C0F409A"/>
    <w:rsid w:val="2C7B214B"/>
    <w:rsid w:val="2CFE6AA1"/>
    <w:rsid w:val="2D780322"/>
    <w:rsid w:val="2EA912F4"/>
    <w:rsid w:val="2F027DD9"/>
    <w:rsid w:val="2F8647FE"/>
    <w:rsid w:val="30195A39"/>
    <w:rsid w:val="30573229"/>
    <w:rsid w:val="307D65E4"/>
    <w:rsid w:val="30A5071D"/>
    <w:rsid w:val="30B62785"/>
    <w:rsid w:val="30D31A33"/>
    <w:rsid w:val="31BF2973"/>
    <w:rsid w:val="31C31AF4"/>
    <w:rsid w:val="31D23820"/>
    <w:rsid w:val="32BF243F"/>
    <w:rsid w:val="33341B40"/>
    <w:rsid w:val="334F287C"/>
    <w:rsid w:val="337701D4"/>
    <w:rsid w:val="33A545BF"/>
    <w:rsid w:val="33B526DB"/>
    <w:rsid w:val="34D239AB"/>
    <w:rsid w:val="35D64A02"/>
    <w:rsid w:val="364B256B"/>
    <w:rsid w:val="36C75691"/>
    <w:rsid w:val="36E40758"/>
    <w:rsid w:val="36ED399D"/>
    <w:rsid w:val="377057C4"/>
    <w:rsid w:val="37FB0586"/>
    <w:rsid w:val="38010421"/>
    <w:rsid w:val="38981316"/>
    <w:rsid w:val="38C53BCF"/>
    <w:rsid w:val="38E946DF"/>
    <w:rsid w:val="38F25855"/>
    <w:rsid w:val="3935776D"/>
    <w:rsid w:val="39D65B30"/>
    <w:rsid w:val="3ACE03E2"/>
    <w:rsid w:val="3B9555A2"/>
    <w:rsid w:val="3C482033"/>
    <w:rsid w:val="3C834176"/>
    <w:rsid w:val="3C97193B"/>
    <w:rsid w:val="3D143268"/>
    <w:rsid w:val="3DBB7F96"/>
    <w:rsid w:val="3DC334D1"/>
    <w:rsid w:val="3DD841ED"/>
    <w:rsid w:val="3EDF4355"/>
    <w:rsid w:val="3FF83040"/>
    <w:rsid w:val="40226134"/>
    <w:rsid w:val="40691C57"/>
    <w:rsid w:val="40AA2D3B"/>
    <w:rsid w:val="40B3678D"/>
    <w:rsid w:val="420B1A8C"/>
    <w:rsid w:val="42202F8C"/>
    <w:rsid w:val="426012BA"/>
    <w:rsid w:val="42840812"/>
    <w:rsid w:val="42E72F92"/>
    <w:rsid w:val="450D3B6F"/>
    <w:rsid w:val="45945E34"/>
    <w:rsid w:val="462D4C7B"/>
    <w:rsid w:val="469E19FE"/>
    <w:rsid w:val="4741374C"/>
    <w:rsid w:val="48293587"/>
    <w:rsid w:val="491F74DA"/>
    <w:rsid w:val="49A07D05"/>
    <w:rsid w:val="49BE5B7E"/>
    <w:rsid w:val="4AD439E7"/>
    <w:rsid w:val="4B5E508C"/>
    <w:rsid w:val="4BA46425"/>
    <w:rsid w:val="4BEC636E"/>
    <w:rsid w:val="4C0A672D"/>
    <w:rsid w:val="4C271722"/>
    <w:rsid w:val="4C51044D"/>
    <w:rsid w:val="4C7429D5"/>
    <w:rsid w:val="4C9C3C3C"/>
    <w:rsid w:val="4E012139"/>
    <w:rsid w:val="4EBC5E8D"/>
    <w:rsid w:val="4F795A07"/>
    <w:rsid w:val="51B45647"/>
    <w:rsid w:val="51E23E65"/>
    <w:rsid w:val="52557D29"/>
    <w:rsid w:val="52BD4B91"/>
    <w:rsid w:val="530316FB"/>
    <w:rsid w:val="53A839B0"/>
    <w:rsid w:val="53EE18D3"/>
    <w:rsid w:val="548C69D4"/>
    <w:rsid w:val="5500281A"/>
    <w:rsid w:val="550D1FCE"/>
    <w:rsid w:val="560315DA"/>
    <w:rsid w:val="568C3661"/>
    <w:rsid w:val="577F0B1D"/>
    <w:rsid w:val="57B95365"/>
    <w:rsid w:val="57BF3146"/>
    <w:rsid w:val="58242AF0"/>
    <w:rsid w:val="582D55D2"/>
    <w:rsid w:val="58382A2C"/>
    <w:rsid w:val="58676608"/>
    <w:rsid w:val="58FC0D97"/>
    <w:rsid w:val="5AA15F9C"/>
    <w:rsid w:val="5AF96E0B"/>
    <w:rsid w:val="5C6F3118"/>
    <w:rsid w:val="5CDF3BEC"/>
    <w:rsid w:val="5D52218B"/>
    <w:rsid w:val="5DFA43BD"/>
    <w:rsid w:val="60152642"/>
    <w:rsid w:val="606B4C3C"/>
    <w:rsid w:val="60844943"/>
    <w:rsid w:val="609C7A15"/>
    <w:rsid w:val="60BD2A4B"/>
    <w:rsid w:val="61DA5318"/>
    <w:rsid w:val="63E00E09"/>
    <w:rsid w:val="64173813"/>
    <w:rsid w:val="651754D2"/>
    <w:rsid w:val="65431D1D"/>
    <w:rsid w:val="65932FD5"/>
    <w:rsid w:val="659A7710"/>
    <w:rsid w:val="65C8659C"/>
    <w:rsid w:val="667C42F7"/>
    <w:rsid w:val="66F37C35"/>
    <w:rsid w:val="672B48C3"/>
    <w:rsid w:val="672E1487"/>
    <w:rsid w:val="67687C30"/>
    <w:rsid w:val="679C2E7E"/>
    <w:rsid w:val="68755383"/>
    <w:rsid w:val="69B656B4"/>
    <w:rsid w:val="6A235840"/>
    <w:rsid w:val="6AB266F1"/>
    <w:rsid w:val="6B1767B7"/>
    <w:rsid w:val="6B5C4AEE"/>
    <w:rsid w:val="6B880226"/>
    <w:rsid w:val="6BEE0FE5"/>
    <w:rsid w:val="6BFD20C8"/>
    <w:rsid w:val="6C2659F2"/>
    <w:rsid w:val="6C745BAB"/>
    <w:rsid w:val="6C89054E"/>
    <w:rsid w:val="6CEA3FB1"/>
    <w:rsid w:val="6D780022"/>
    <w:rsid w:val="6D79724B"/>
    <w:rsid w:val="6DD535F8"/>
    <w:rsid w:val="6E53299F"/>
    <w:rsid w:val="6EA84C86"/>
    <w:rsid w:val="6F3E3B6B"/>
    <w:rsid w:val="6F891A23"/>
    <w:rsid w:val="701460CE"/>
    <w:rsid w:val="70284AAB"/>
    <w:rsid w:val="70583117"/>
    <w:rsid w:val="70593DAD"/>
    <w:rsid w:val="70A35E91"/>
    <w:rsid w:val="70F97DC9"/>
    <w:rsid w:val="713E4224"/>
    <w:rsid w:val="71B52C05"/>
    <w:rsid w:val="72393AC4"/>
    <w:rsid w:val="72675F7A"/>
    <w:rsid w:val="735C0F68"/>
    <w:rsid w:val="73E650F5"/>
    <w:rsid w:val="741F7EE9"/>
    <w:rsid w:val="749526DF"/>
    <w:rsid w:val="74B26409"/>
    <w:rsid w:val="75002852"/>
    <w:rsid w:val="75375A2C"/>
    <w:rsid w:val="75553E79"/>
    <w:rsid w:val="75EC5FB4"/>
    <w:rsid w:val="76810651"/>
    <w:rsid w:val="76922CE6"/>
    <w:rsid w:val="76C2699F"/>
    <w:rsid w:val="772F428A"/>
    <w:rsid w:val="777F5AA4"/>
    <w:rsid w:val="77F8567A"/>
    <w:rsid w:val="78D6782C"/>
    <w:rsid w:val="797600CC"/>
    <w:rsid w:val="79DA70E8"/>
    <w:rsid w:val="79E41225"/>
    <w:rsid w:val="7A12766B"/>
    <w:rsid w:val="7A1464A4"/>
    <w:rsid w:val="7AAF70B8"/>
    <w:rsid w:val="7ACE51C4"/>
    <w:rsid w:val="7B271D59"/>
    <w:rsid w:val="7B493A8E"/>
    <w:rsid w:val="7BA03D39"/>
    <w:rsid w:val="7BD92FA7"/>
    <w:rsid w:val="7BDD1473"/>
    <w:rsid w:val="7C22742D"/>
    <w:rsid w:val="7C771A1B"/>
    <w:rsid w:val="7CB021FE"/>
    <w:rsid w:val="7D372A11"/>
    <w:rsid w:val="7DDD4356"/>
    <w:rsid w:val="7E1D238D"/>
    <w:rsid w:val="7E741867"/>
    <w:rsid w:val="7E7D1B7A"/>
    <w:rsid w:val="7F1A6537"/>
    <w:rsid w:val="7F3650F0"/>
    <w:rsid w:val="7F97096D"/>
    <w:rsid w:val="7FD876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8">
    <w:name w:val="heading 4"/>
    <w:basedOn w:val="1"/>
    <w:next w:val="1"/>
    <w:qFormat/>
    <w:uiPriority w:val="0"/>
    <w:pPr>
      <w:keepNext/>
      <w:keepLines/>
      <w:spacing w:before="280" w:beforeLines="0" w:after="290" w:afterLines="0" w:line="372" w:lineRule="auto"/>
      <w:outlineLvl w:val="3"/>
    </w:pPr>
    <w:rPr>
      <w:rFonts w:ascii="Cambria" w:hAnsi="Cambria"/>
      <w:b/>
      <w:bCs/>
      <w:sz w:val="28"/>
      <w:szCs w:val="28"/>
    </w:rPr>
  </w:style>
  <w:style w:type="character" w:default="1" w:styleId="25">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Normal Indent"/>
    <w:basedOn w:val="1"/>
    <w:qFormat/>
    <w:uiPriority w:val="0"/>
    <w:pPr>
      <w:ind w:firstLine="420" w:firstLineChars="200"/>
    </w:pPr>
    <w:rPr>
      <w:rFonts w:ascii="仿宋_GB2312"/>
      <w:b/>
    </w:rPr>
  </w:style>
  <w:style w:type="paragraph" w:styleId="9">
    <w:name w:val="annotation text"/>
    <w:basedOn w:val="1"/>
    <w:link w:val="45"/>
    <w:qFormat/>
    <w:uiPriority w:val="0"/>
    <w:pPr>
      <w:jc w:val="left"/>
    </w:pPr>
  </w:style>
  <w:style w:type="paragraph" w:styleId="10">
    <w:name w:val="Body Text"/>
    <w:basedOn w:val="1"/>
    <w:next w:val="1"/>
    <w:qFormat/>
    <w:uiPriority w:val="0"/>
    <w:pPr>
      <w:widowControl w:val="0"/>
      <w:autoSpaceDE/>
      <w:autoSpaceDN/>
      <w:spacing w:before="0" w:after="120" w:line="240" w:lineRule="auto"/>
      <w:ind w:left="0" w:firstLine="0"/>
      <w:jc w:val="both"/>
    </w:pPr>
    <w:rPr>
      <w:rFonts w:ascii="Times New Roman" w:eastAsia="宋体"/>
      <w:sz w:val="21"/>
    </w:rPr>
  </w:style>
  <w:style w:type="paragraph" w:styleId="11">
    <w:name w:val="toc 3"/>
    <w:basedOn w:val="1"/>
    <w:next w:val="1"/>
    <w:qFormat/>
    <w:uiPriority w:val="0"/>
    <w:pPr>
      <w:ind w:left="840" w:leftChars="400"/>
    </w:pPr>
  </w:style>
  <w:style w:type="paragraph" w:styleId="12">
    <w:name w:val="Body Text Indent 2"/>
    <w:basedOn w:val="1"/>
    <w:unhideWhenUsed/>
    <w:qFormat/>
    <w:uiPriority w:val="99"/>
    <w:pPr>
      <w:ind w:firstLine="630"/>
    </w:pPr>
    <w:rPr>
      <w:rFonts w:ascii="宋体" w:hAnsi="宋体" w:cs="宋体"/>
      <w:sz w:val="32"/>
      <w:szCs w:val="20"/>
    </w:rPr>
  </w:style>
  <w:style w:type="paragraph" w:styleId="13">
    <w:name w:val="Balloon Text"/>
    <w:basedOn w:val="1"/>
    <w:link w:val="42"/>
    <w:qFormat/>
    <w:uiPriority w:val="0"/>
    <w:rPr>
      <w:sz w:val="18"/>
      <w:szCs w:val="18"/>
    </w:rPr>
  </w:style>
  <w:style w:type="paragraph" w:styleId="14">
    <w:name w:val="footer"/>
    <w:basedOn w:val="1"/>
    <w:next w:val="1"/>
    <w:qFormat/>
    <w:uiPriority w:val="0"/>
    <w:pPr>
      <w:widowControl w:val="0"/>
      <w:autoSpaceDE/>
      <w:autoSpaceDN/>
      <w:spacing w:before="0" w:after="0" w:line="240" w:lineRule="auto"/>
      <w:ind w:left="0" w:firstLine="0"/>
      <w:jc w:val="both"/>
    </w:pPr>
    <w:rPr>
      <w:rFonts w:ascii="Tahoma" w:eastAsia="宋体"/>
      <w:sz w:val="18"/>
    </w:rPr>
  </w:style>
  <w:style w:type="paragraph" w:styleId="15">
    <w:name w:val="header"/>
    <w:basedOn w:val="1"/>
    <w:next w:val="1"/>
    <w:qFormat/>
    <w:uiPriority w:val="0"/>
    <w:pPr>
      <w:widowControl w:val="0"/>
      <w:autoSpaceDE/>
      <w:autoSpaceDN/>
      <w:spacing w:before="0" w:after="0" w:line="240" w:lineRule="auto"/>
      <w:ind w:left="0" w:firstLine="0"/>
      <w:jc w:val="center"/>
    </w:pPr>
    <w:rPr>
      <w:rFonts w:ascii="Calibri" w:eastAsia="宋体"/>
      <w:sz w:val="18"/>
    </w:rPr>
  </w:style>
  <w:style w:type="paragraph" w:styleId="16">
    <w:name w:val="toc 1"/>
    <w:basedOn w:val="1"/>
    <w:next w:val="1"/>
    <w:qFormat/>
    <w:uiPriority w:val="0"/>
  </w:style>
  <w:style w:type="paragraph" w:styleId="17">
    <w:name w:val="Body Text Indent 3"/>
    <w:basedOn w:val="1"/>
    <w:next w:val="1"/>
    <w:qFormat/>
    <w:uiPriority w:val="0"/>
    <w:pPr>
      <w:widowControl w:val="0"/>
      <w:autoSpaceDE/>
      <w:autoSpaceDN/>
      <w:spacing w:before="0" w:after="0" w:line="240" w:lineRule="auto"/>
      <w:ind w:left="0" w:firstLine="420"/>
      <w:jc w:val="both"/>
    </w:pPr>
    <w:rPr>
      <w:rFonts w:ascii="宋体" w:eastAsia="宋体"/>
      <w:sz w:val="21"/>
    </w:rPr>
  </w:style>
  <w:style w:type="paragraph" w:styleId="18">
    <w:name w:val="toc 2"/>
    <w:basedOn w:val="1"/>
    <w:next w:val="1"/>
    <w:qFormat/>
    <w:uiPriority w:val="0"/>
    <w:pPr>
      <w:ind w:left="420" w:leftChars="200"/>
    </w:p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Arial" w:hAnsi="Arial"/>
      <w:kern w:val="0"/>
      <w:sz w:val="24"/>
    </w:rPr>
  </w:style>
  <w:style w:type="paragraph" w:styleId="20">
    <w:name w:val="Normal (Web)"/>
    <w:basedOn w:val="1"/>
    <w:next w:val="1"/>
    <w:qFormat/>
    <w:uiPriority w:val="0"/>
    <w:pPr>
      <w:widowControl w:val="0"/>
      <w:autoSpaceDE/>
      <w:autoSpaceDN/>
      <w:spacing w:before="0" w:after="150" w:line="240" w:lineRule="auto"/>
      <w:ind w:left="0" w:firstLine="0"/>
      <w:jc w:val="both"/>
    </w:pPr>
    <w:rPr>
      <w:rFonts w:ascii="Times New Roman" w:eastAsia="宋体"/>
      <w:sz w:val="24"/>
    </w:rPr>
  </w:style>
  <w:style w:type="paragraph" w:styleId="21">
    <w:name w:val="annotation subject"/>
    <w:basedOn w:val="9"/>
    <w:next w:val="9"/>
    <w:link w:val="44"/>
    <w:qFormat/>
    <w:uiPriority w:val="0"/>
    <w:rPr>
      <w:b/>
      <w:bCs/>
    </w:rPr>
  </w:style>
  <w:style w:type="paragraph" w:styleId="22">
    <w:name w:val="Body Text First Indent"/>
    <w:basedOn w:val="10"/>
    <w:qFormat/>
    <w:uiPriority w:val="0"/>
    <w:pPr>
      <w:spacing w:after="120" w:afterLines="0"/>
      <w:ind w:firstLine="420"/>
    </w:pPr>
    <w:rPr>
      <w:rFonts w:ascii="Times New Roman" w:hAnsi="Times New Roman" w:eastAsia="宋体" w:cs="Times New Roman"/>
      <w:sz w:val="32"/>
      <w:szCs w:val="20"/>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FollowedHyperlink"/>
    <w:qFormat/>
    <w:uiPriority w:val="0"/>
    <w:rPr>
      <w:color w:val="333333"/>
      <w:u w:val="none"/>
    </w:rPr>
  </w:style>
  <w:style w:type="character" w:styleId="27">
    <w:name w:val="Hyperlink"/>
    <w:qFormat/>
    <w:uiPriority w:val="0"/>
    <w:rPr>
      <w:color w:val="333333"/>
      <w:u w:val="none"/>
    </w:rPr>
  </w:style>
  <w:style w:type="character" w:styleId="28">
    <w:name w:val="annotation reference"/>
    <w:qFormat/>
    <w:uiPriority w:val="0"/>
    <w:rPr>
      <w:sz w:val="21"/>
      <w:szCs w:val="21"/>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_Style 4"/>
    <w:next w:val="14"/>
    <w:qFormat/>
    <w:uiPriority w:val="0"/>
    <w:rPr>
      <w:rFonts w:ascii="Times New Roman" w:hAnsi="Times New Roman" w:eastAsia="宋体" w:cs="Times New Roman"/>
      <w:sz w:val="21"/>
      <w:lang w:val="en-US" w:eastAsia="zh-CN" w:bidi="ar-SA"/>
    </w:rPr>
  </w:style>
  <w:style w:type="paragraph" w:customStyle="1" w:styleId="31">
    <w:name w:val="列出段落1"/>
    <w:basedOn w:val="1"/>
    <w:qFormat/>
    <w:uiPriority w:val="34"/>
    <w:pPr>
      <w:ind w:firstLine="420" w:firstLineChars="200"/>
    </w:pPr>
  </w:style>
  <w:style w:type="paragraph" w:customStyle="1" w:styleId="32">
    <w:name w:val="List Paragraph1"/>
    <w:basedOn w:val="1"/>
    <w:qFormat/>
    <w:uiPriority w:val="34"/>
    <w:pPr>
      <w:ind w:firstLine="420" w:firstLineChars="200"/>
    </w:pPr>
  </w:style>
  <w:style w:type="paragraph" w:customStyle="1" w:styleId="33">
    <w:name w:val=" Char1"/>
    <w:basedOn w:val="1"/>
    <w:next w:val="17"/>
    <w:qFormat/>
    <w:uiPriority w:val="0"/>
    <w:pPr>
      <w:widowControl w:val="0"/>
      <w:autoSpaceDE/>
      <w:autoSpaceDN/>
      <w:spacing w:before="0" w:after="0" w:line="240" w:lineRule="auto"/>
      <w:ind w:left="0" w:firstLine="0"/>
      <w:jc w:val="center"/>
    </w:pPr>
    <w:rPr>
      <w:rFonts w:ascii="仿宋_GB2312" w:eastAsia="仿宋_GB2312"/>
      <w:b/>
      <w:sz w:val="32"/>
    </w:rPr>
  </w:style>
  <w:style w:type="paragraph" w:customStyle="1" w:styleId="34">
    <w:name w:val="目录 52"/>
    <w:basedOn w:val="1"/>
    <w:next w:val="1"/>
    <w:qFormat/>
    <w:uiPriority w:val="0"/>
    <w:pPr>
      <w:widowControl w:val="0"/>
      <w:autoSpaceDE/>
      <w:autoSpaceDN/>
      <w:spacing w:before="0" w:after="0" w:line="240" w:lineRule="auto"/>
      <w:ind w:left="840" w:firstLine="0"/>
      <w:jc w:val="both"/>
    </w:pPr>
    <w:rPr>
      <w:rFonts w:ascii="Times New Roman" w:eastAsia="宋体"/>
      <w:sz w:val="18"/>
    </w:rPr>
  </w:style>
  <w:style w:type="paragraph" w:customStyle="1" w:styleId="35">
    <w:name w:val="_Style 28"/>
    <w:next w:val="14"/>
    <w:qFormat/>
    <w:uiPriority w:val="0"/>
    <w:rPr>
      <w:rFonts w:ascii="Times New Roman" w:hAnsi="Times New Roman" w:eastAsia="宋体" w:cs="Times New Roman"/>
      <w:sz w:val="21"/>
      <w:lang w:val="en-US" w:eastAsia="zh-CN" w:bidi="ar-SA"/>
    </w:rPr>
  </w:style>
  <w:style w:type="paragraph" w:customStyle="1" w:styleId="36">
    <w:name w:val="Normal (Web)_0"/>
    <w:basedOn w:val="1"/>
    <w:qFormat/>
    <w:uiPriority w:val="0"/>
    <w:pPr>
      <w:spacing w:before="100" w:beforeAutospacing="1" w:after="100" w:afterAutospacing="1"/>
      <w:jc w:val="left"/>
    </w:pPr>
    <w:rPr>
      <w:rFonts w:ascii="Calibri" w:hAnsi="Calibri" w:eastAsia="宋体"/>
      <w:kern w:val="0"/>
      <w:sz w:val="24"/>
      <w:szCs w:val="24"/>
    </w:rPr>
  </w:style>
  <w:style w:type="paragraph" w:customStyle="1" w:styleId="37">
    <w:name w:val="Blockquote"/>
    <w:basedOn w:val="1"/>
    <w:qFormat/>
    <w:uiPriority w:val="99"/>
    <w:pPr>
      <w:autoSpaceDE w:val="0"/>
      <w:autoSpaceDN w:val="0"/>
      <w:adjustRightInd w:val="0"/>
      <w:ind w:left="360" w:right="360"/>
      <w:jc w:val="left"/>
    </w:pPr>
    <w:rPr>
      <w:kern w:val="0"/>
      <w:sz w:val="24"/>
      <w:szCs w:val="20"/>
    </w:rPr>
  </w:style>
  <w:style w:type="paragraph" w:customStyle="1" w:styleId="38">
    <w:name w:val="表格标题"/>
    <w:basedOn w:val="1"/>
    <w:qFormat/>
    <w:uiPriority w:val="0"/>
    <w:pPr>
      <w:adjustRightInd w:val="0"/>
      <w:snapToGrid w:val="0"/>
      <w:spacing w:line="480" w:lineRule="exact"/>
      <w:ind w:left="508" w:leftChars="1" w:right="113" w:hanging="505"/>
      <w:jc w:val="center"/>
    </w:pPr>
    <w:rPr>
      <w:rFonts w:ascii="宋体" w:eastAsia="黑体"/>
      <w:sz w:val="36"/>
    </w:rPr>
  </w:style>
  <w:style w:type="paragraph" w:customStyle="1" w:styleId="39">
    <w:name w:val="样式 标书正文 + 下划线"/>
    <w:next w:val="33"/>
    <w:link w:val="46"/>
    <w:qFormat/>
    <w:uiPriority w:val="0"/>
    <w:rPr>
      <w:rFonts w:ascii="Times New Roman" w:hAnsi="Times New Roman" w:eastAsia="楷体_GB2312" w:cs="Times New Roman"/>
      <w:sz w:val="28"/>
      <w:u w:val="single"/>
      <w:lang w:val="en-US" w:eastAsia="zh-CN" w:bidi="ar-SA"/>
    </w:rPr>
  </w:style>
  <w:style w:type="paragraph" w:styleId="40">
    <w:name w:val="List Paragraph"/>
    <w:basedOn w:val="1"/>
    <w:next w:val="35"/>
    <w:qFormat/>
    <w:uiPriority w:val="34"/>
    <w:pPr>
      <w:widowControl w:val="0"/>
      <w:autoSpaceDE/>
      <w:autoSpaceDN/>
      <w:spacing w:before="0" w:after="0" w:line="240" w:lineRule="auto"/>
      <w:ind w:left="0" w:firstLine="420"/>
      <w:jc w:val="both"/>
    </w:pPr>
    <w:rPr>
      <w:rFonts w:ascii="Times New Roman" w:eastAsia="宋体"/>
      <w:sz w:val="21"/>
    </w:rPr>
  </w:style>
  <w:style w:type="paragraph" w:customStyle="1" w:styleId="41">
    <w:name w:val="文档正文"/>
    <w:basedOn w:val="1"/>
    <w:next w:val="34"/>
    <w:qFormat/>
    <w:uiPriority w:val="0"/>
    <w:pPr>
      <w:widowControl w:val="0"/>
      <w:autoSpaceDE/>
      <w:autoSpaceDN/>
      <w:spacing w:before="0" w:after="0" w:line="480" w:lineRule="atLeast"/>
      <w:ind w:left="0" w:firstLine="567"/>
      <w:jc w:val="both"/>
    </w:pPr>
    <w:rPr>
      <w:rFonts w:ascii="仿宋_GB2312" w:eastAsia="仿宋_GB2312"/>
      <w:sz w:val="28"/>
    </w:rPr>
  </w:style>
  <w:style w:type="character" w:customStyle="1" w:styleId="42">
    <w:name w:val="批注框文本 Char"/>
    <w:link w:val="13"/>
    <w:qFormat/>
    <w:uiPriority w:val="0"/>
    <w:rPr>
      <w:sz w:val="18"/>
      <w:szCs w:val="18"/>
    </w:rPr>
  </w:style>
  <w:style w:type="character" w:customStyle="1" w:styleId="43">
    <w:name w:val="p12"/>
    <w:qFormat/>
    <w:uiPriority w:val="0"/>
    <w:rPr>
      <w:sz w:val="20"/>
    </w:rPr>
  </w:style>
  <w:style w:type="character" w:customStyle="1" w:styleId="44">
    <w:name w:val="批注主题 Char"/>
    <w:basedOn w:val="45"/>
    <w:link w:val="21"/>
    <w:qFormat/>
    <w:uiPriority w:val="0"/>
  </w:style>
  <w:style w:type="character" w:customStyle="1" w:styleId="45">
    <w:name w:val="批注文字 Char"/>
    <w:link w:val="9"/>
    <w:qFormat/>
    <w:uiPriority w:val="0"/>
    <w:rPr>
      <w:sz w:val="24"/>
      <w:szCs w:val="24"/>
    </w:rPr>
  </w:style>
  <w:style w:type="character" w:customStyle="1" w:styleId="46">
    <w:name w:val="样式 标书正文 + 下划线 Char"/>
    <w:link w:val="39"/>
    <w:qFormat/>
    <w:uiPriority w:val="0"/>
    <w:rPr>
      <w:rFonts w:eastAsia="楷体_GB2312"/>
      <w:sz w:val="28"/>
      <w:u w:val="single"/>
      <w:lang w:val="en-US" w:eastAsia="zh-CN" w:bidi="ar-SA"/>
    </w:rPr>
  </w:style>
  <w:style w:type="paragraph" w:customStyle="1" w:styleId="47">
    <w:name w:val="WPSOffice手动目录 1"/>
    <w:qFormat/>
    <w:uiPriority w:val="0"/>
    <w:pPr>
      <w:ind w:leftChars="0"/>
    </w:pPr>
    <w:rPr>
      <w:rFonts w:ascii="宋体" w:hAnsi="宋体" w:eastAsia="Calibri" w:cstheme="minorBidi"/>
      <w:sz w:val="20"/>
      <w:szCs w:val="20"/>
    </w:rPr>
  </w:style>
  <w:style w:type="paragraph" w:customStyle="1" w:styleId="48">
    <w:name w:val="WPSOffice手动目录 2"/>
    <w:qFormat/>
    <w:uiPriority w:val="0"/>
    <w:pPr>
      <w:ind w:leftChars="200"/>
    </w:pPr>
    <w:rPr>
      <w:rFonts w:ascii="宋体" w:hAnsi="宋体" w:eastAsia="Calibri" w:cstheme="minorBidi"/>
      <w:sz w:val="20"/>
      <w:szCs w:val="20"/>
    </w:rPr>
  </w:style>
  <w:style w:type="paragraph" w:customStyle="1" w:styleId="49">
    <w:name w:val="WPSOffice手动目录 3"/>
    <w:qFormat/>
    <w:uiPriority w:val="0"/>
    <w:pPr>
      <w:ind w:leftChars="400"/>
    </w:pPr>
    <w:rPr>
      <w:rFonts w:ascii="宋体" w:hAnsi="宋体" w:eastAsia="Calibr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129</Pages>
  <Words>62195</Words>
  <Characters>66882</Characters>
  <Lines>456</Lines>
  <Paragraphs>128</Paragraphs>
  <TotalTime>0</TotalTime>
  <ScaleCrop>false</ScaleCrop>
  <LinksUpToDate>false</LinksUpToDate>
  <CharactersWithSpaces>72110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2018-09-28T08:47:00Z</dcterms:created>
  <dc:creator>Administrator</dc:creator>
  <cp:lastModifiedBy>Administrator</cp:lastModifiedBy>
  <dcterms:modified xsi:type="dcterms:W3CDTF">2020-07-31T11:21:39Z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